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hint="eastAsia" w:ascii="仿宋_GB2312" w:eastAsia="仿宋_GB2312" w:cs="仿宋_GB2312"/>
          <w:color w:val="000000"/>
          <w:sz w:val="32"/>
          <w:szCs w:val="32"/>
        </w:rPr>
      </w:pPr>
    </w:p>
    <w:p>
      <w:pPr>
        <w:spacing w:line="560" w:lineRule="exact"/>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浙经院〔201</w:t>
      </w:r>
      <w:r>
        <w:rPr>
          <w:rFonts w:ascii="仿宋_GB2312" w:eastAsia="仿宋_GB2312" w:cs="仿宋_GB2312"/>
          <w:color w:val="000000"/>
          <w:sz w:val="32"/>
          <w:szCs w:val="32"/>
        </w:rPr>
        <w:t>9</w:t>
      </w:r>
      <w:r>
        <w:rPr>
          <w:rFonts w:hint="eastAsia" w:ascii="仿宋_GB2312" w:eastAsia="仿宋_GB2312" w:cs="仿宋_GB2312"/>
          <w:color w:val="000000"/>
          <w:sz w:val="32"/>
          <w:szCs w:val="32"/>
        </w:rPr>
        <w:t>〕1</w:t>
      </w:r>
      <w:r>
        <w:rPr>
          <w:rFonts w:ascii="仿宋_GB2312" w:eastAsia="仿宋_GB2312" w:cs="仿宋_GB2312"/>
          <w:color w:val="000000"/>
          <w:sz w:val="32"/>
          <w:szCs w:val="32"/>
        </w:rPr>
        <w:t>54</w:t>
      </w:r>
      <w:r>
        <w:rPr>
          <w:rFonts w:hint="eastAsia" w:ascii="仿宋_GB2312" w:eastAsia="仿宋_GB2312" w:cs="仿宋_GB2312"/>
          <w:color w:val="000000"/>
          <w:sz w:val="32"/>
          <w:szCs w:val="32"/>
        </w:rPr>
        <w:t>号</w:t>
      </w:r>
    </w:p>
    <w:p>
      <w:pPr>
        <w:spacing w:line="560" w:lineRule="exact"/>
        <w:jc w:val="center"/>
        <w:rPr>
          <w:rFonts w:ascii="仿宋_GB2312" w:eastAsia="仿宋_GB2312"/>
          <w:color w:val="000000"/>
          <w:sz w:val="32"/>
          <w:szCs w:val="32"/>
        </w:rPr>
      </w:pPr>
    </w:p>
    <w:p>
      <w:pPr>
        <w:spacing w:line="280" w:lineRule="exact"/>
        <w:jc w:val="center"/>
        <w:rPr>
          <w:rFonts w:ascii="宋体" w:hAnsi="宋体"/>
          <w:b/>
          <w:color w:val="000000"/>
          <w:sz w:val="36"/>
          <w:szCs w:val="36"/>
        </w:rPr>
      </w:pPr>
    </w:p>
    <w:p>
      <w:pPr>
        <w:spacing w:line="280" w:lineRule="exact"/>
        <w:jc w:val="center"/>
        <w:rPr>
          <w:rFonts w:ascii="宋体" w:hAnsi="宋体"/>
          <w:b/>
          <w:color w:val="000000"/>
          <w:sz w:val="36"/>
          <w:szCs w:val="36"/>
        </w:rPr>
      </w:pPr>
    </w:p>
    <w:p>
      <w:pPr>
        <w:widowControl/>
        <w:spacing w:line="440" w:lineRule="exact"/>
        <w:jc w:val="center"/>
        <w:rPr>
          <w:rFonts w:ascii="宋体" w:hAnsi="宋体"/>
          <w:b/>
          <w:color w:val="000000"/>
          <w:sz w:val="36"/>
          <w:szCs w:val="36"/>
        </w:rPr>
      </w:pPr>
      <w:bookmarkStart w:id="2" w:name="_GoBack"/>
      <w:r>
        <w:rPr>
          <w:rFonts w:hint="eastAsia" w:ascii="宋体" w:hAnsi="宋体"/>
          <w:b/>
          <w:color w:val="000000"/>
          <w:sz w:val="36"/>
          <w:szCs w:val="36"/>
        </w:rPr>
        <w:t>关于印发《浙江经济职业技术学院科研诚信建设</w:t>
      </w:r>
    </w:p>
    <w:p>
      <w:pPr>
        <w:widowControl/>
        <w:spacing w:line="440" w:lineRule="exact"/>
        <w:jc w:val="center"/>
        <w:rPr>
          <w:rFonts w:ascii="黑体" w:hAnsi="黑体" w:eastAsia="黑体"/>
          <w:b/>
          <w:sz w:val="32"/>
          <w:szCs w:val="32"/>
        </w:rPr>
      </w:pPr>
      <w:r>
        <w:rPr>
          <w:rFonts w:hint="eastAsia" w:ascii="宋体" w:hAnsi="宋体"/>
          <w:b/>
          <w:color w:val="000000"/>
          <w:sz w:val="36"/>
          <w:szCs w:val="36"/>
        </w:rPr>
        <w:t>实施办法》的通知</w:t>
      </w:r>
      <w:bookmarkEnd w:id="2"/>
    </w:p>
    <w:p>
      <w:pPr>
        <w:spacing w:line="560" w:lineRule="exact"/>
        <w:rPr>
          <w:sz w:val="24"/>
        </w:rPr>
      </w:pPr>
    </w:p>
    <w:p>
      <w:pPr>
        <w:spacing w:line="560" w:lineRule="exact"/>
        <w:rPr>
          <w:sz w:val="24"/>
        </w:rPr>
      </w:pPr>
    </w:p>
    <w:p>
      <w:pPr>
        <w:rPr>
          <w:rFonts w:ascii="仿宋_GB2312" w:eastAsia="仿宋_GB2312"/>
          <w:sz w:val="32"/>
          <w:szCs w:val="32"/>
        </w:rPr>
      </w:pPr>
      <w:r>
        <w:rPr>
          <w:rFonts w:hint="eastAsia" w:ascii="仿宋_GB2312" w:eastAsia="仿宋_GB2312"/>
          <w:sz w:val="32"/>
          <w:szCs w:val="32"/>
        </w:rPr>
        <w:t>院属各部门：</w:t>
      </w:r>
    </w:p>
    <w:p>
      <w:pPr>
        <w:ind w:firstLine="570"/>
        <w:rPr>
          <w:rFonts w:ascii="仿宋_GB2312" w:eastAsia="仿宋_GB2312"/>
          <w:sz w:val="32"/>
          <w:szCs w:val="32"/>
        </w:rPr>
      </w:pPr>
      <w:r>
        <w:rPr>
          <w:rFonts w:hint="eastAsia" w:ascii="仿宋_GB2312" w:eastAsia="仿宋_GB2312"/>
          <w:sz w:val="32"/>
          <w:szCs w:val="32"/>
        </w:rPr>
        <w:t>现将《浙江经济职业技术学院科研诚信建设实施办法》印发给你们。请结合实际，认真研究，贯彻落实。</w:t>
      </w:r>
    </w:p>
    <w:p>
      <w:pPr>
        <w:ind w:firstLine="570"/>
        <w:rPr>
          <w:rFonts w:ascii="仿宋_GB2312" w:eastAsia="仿宋_GB2312"/>
          <w:sz w:val="32"/>
          <w:szCs w:val="32"/>
        </w:rPr>
      </w:pPr>
      <w:r>
        <w:rPr>
          <w:rFonts w:hint="eastAsia" w:ascii="仿宋_GB2312" w:eastAsia="仿宋_GB2312"/>
          <w:sz w:val="32"/>
          <w:szCs w:val="32"/>
        </w:rPr>
        <w:t xml:space="preserve"> </w:t>
      </w:r>
    </w:p>
    <w:p>
      <w:pPr>
        <w:ind w:firstLine="570"/>
        <w:rPr>
          <w:rFonts w:ascii="仿宋_GB2312" w:eastAsia="仿宋_GB2312"/>
          <w:sz w:val="32"/>
          <w:szCs w:val="32"/>
        </w:rPr>
      </w:pPr>
    </w:p>
    <w:p>
      <w:pPr>
        <w:ind w:firstLine="570"/>
        <w:rPr>
          <w:rFonts w:ascii="仿宋_GB2312" w:eastAsia="仿宋_GB2312"/>
          <w:sz w:val="32"/>
          <w:szCs w:val="32"/>
        </w:rPr>
      </w:pPr>
    </w:p>
    <w:p>
      <w:pPr>
        <w:ind w:firstLine="4800" w:firstLineChars="1500"/>
        <w:rPr>
          <w:rFonts w:ascii="仿宋_GB2312" w:eastAsia="仿宋_GB2312"/>
          <w:sz w:val="32"/>
          <w:szCs w:val="32"/>
        </w:rPr>
      </w:pPr>
      <w:r>
        <w:rPr>
          <w:rFonts w:hint="eastAsia" w:ascii="仿宋_GB2312" w:eastAsia="仿宋_GB2312"/>
          <w:sz w:val="32"/>
          <w:szCs w:val="32"/>
        </w:rPr>
        <w:t>浙江经济职业技术学院</w:t>
      </w:r>
    </w:p>
    <w:p>
      <w:pPr>
        <w:ind w:firstLine="570"/>
        <w:rPr>
          <w:rFonts w:ascii="仿宋_GB2312" w:eastAsia="仿宋_GB2312"/>
          <w:sz w:val="32"/>
          <w:szCs w:val="32"/>
        </w:rPr>
      </w:pPr>
      <w:r>
        <w:rPr>
          <w:rFonts w:hint="eastAsia" w:ascii="仿宋_GB2312" w:eastAsia="仿宋_GB2312"/>
          <w:sz w:val="32"/>
          <w:szCs w:val="32"/>
        </w:rPr>
        <w:t xml:space="preserve">                              201</w:t>
      </w:r>
      <w:r>
        <w:rPr>
          <w:rFonts w:ascii="仿宋_GB2312" w:eastAsia="仿宋_GB2312"/>
          <w:sz w:val="32"/>
          <w:szCs w:val="32"/>
        </w:rPr>
        <w:t>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日</w:t>
      </w:r>
    </w:p>
    <w:p>
      <w:pPr>
        <w:widowControl/>
        <w:spacing w:line="440" w:lineRule="exact"/>
        <w:jc w:val="both"/>
        <w:rPr>
          <w:rFonts w:ascii="黑体" w:hAnsi="黑体" w:eastAsia="黑体"/>
          <w:b/>
          <w:sz w:val="32"/>
          <w:szCs w:val="32"/>
        </w:rPr>
      </w:pPr>
    </w:p>
    <w:p>
      <w:pPr>
        <w:adjustRightInd w:val="0"/>
        <w:snapToGrid w:val="0"/>
        <w:jc w:val="center"/>
        <w:rPr>
          <w:rStyle w:val="5"/>
          <w:rFonts w:ascii="方正小标宋简体" w:hAnsi="微软雅黑" w:eastAsia="方正小标宋简体" w:cs="宋体"/>
          <w:b w:val="0"/>
          <w:bCs w:val="0"/>
          <w:color w:val="333333"/>
          <w:kern w:val="0"/>
          <w:sz w:val="36"/>
          <w:szCs w:val="36"/>
        </w:rPr>
      </w:pPr>
      <w:r>
        <w:rPr>
          <w:rStyle w:val="5"/>
          <w:rFonts w:hint="eastAsia" w:ascii="方正小标宋简体" w:hAnsi="微软雅黑" w:eastAsia="方正小标宋简体" w:cs="宋体"/>
          <w:b w:val="0"/>
          <w:bCs w:val="0"/>
          <w:color w:val="333333"/>
          <w:kern w:val="0"/>
          <w:sz w:val="36"/>
          <w:szCs w:val="36"/>
        </w:rPr>
        <w:t>浙江经济职业技术学院科研诚信建设实施办法</w:t>
      </w:r>
    </w:p>
    <w:p>
      <w:pPr>
        <w:adjustRightInd w:val="0"/>
        <w:snapToGrid w:val="0"/>
        <w:jc w:val="center"/>
        <w:rPr>
          <w:rStyle w:val="5"/>
          <w:rFonts w:ascii="方正小标宋简体" w:hAnsi="微软雅黑" w:eastAsia="方正小标宋简体" w:cs="宋体"/>
          <w:b w:val="0"/>
          <w:color w:val="333333"/>
          <w:kern w:val="0"/>
          <w:sz w:val="40"/>
        </w:rPr>
      </w:pPr>
    </w:p>
    <w:p>
      <w:pPr>
        <w:adjustRightInd w:val="0"/>
        <w:snapToGrid w:val="0"/>
        <w:spacing w:line="440" w:lineRule="exact"/>
        <w:jc w:val="center"/>
        <w:rPr>
          <w:rStyle w:val="5"/>
          <w:rFonts w:ascii="仿宋" w:hAnsi="仿宋" w:eastAsia="仿宋" w:cs="宋体"/>
          <w:b w:val="0"/>
          <w:color w:val="333333"/>
          <w:kern w:val="0"/>
          <w:sz w:val="30"/>
          <w:szCs w:val="30"/>
        </w:rPr>
      </w:pPr>
      <w:r>
        <w:rPr>
          <w:rStyle w:val="5"/>
          <w:rFonts w:hint="eastAsia" w:ascii="仿宋" w:hAnsi="仿宋" w:eastAsia="仿宋"/>
          <w:color w:val="333333"/>
          <w:sz w:val="30"/>
          <w:szCs w:val="30"/>
        </w:rPr>
        <w:t>第一章 总则</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Style w:val="5"/>
          <w:rFonts w:hint="eastAsia" w:ascii="仿宋" w:hAnsi="仿宋" w:eastAsia="仿宋"/>
          <w:color w:val="333333"/>
          <w:sz w:val="30"/>
          <w:szCs w:val="30"/>
        </w:rPr>
        <w:t xml:space="preserve">第一条 </w:t>
      </w:r>
      <w:r>
        <w:rPr>
          <w:rFonts w:hint="eastAsia" w:ascii="仿宋" w:hAnsi="仿宋" w:eastAsia="仿宋"/>
          <w:color w:val="333333"/>
          <w:sz w:val="30"/>
          <w:szCs w:val="30"/>
        </w:rPr>
        <w:t>以习近平新时代中国特色社会主义思想为指导，贯彻落实党中央、国务院关于社会信用体系建设的总体要求，优化科技创新环境，推进科研诚信建设，维护学术道德，规范学术行为，根据《中华人民共和国高等教育法》《中华人民共和国科学技术进步法》《高等学校预防与处理学术不端行为办法》《关于进一步加强科研诚信建设的若干意见》等法律法规，结合学校实际，制定本办法。</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color w:val="333333"/>
          <w:sz w:val="30"/>
          <w:szCs w:val="30"/>
        </w:rPr>
        <w:t xml:space="preserve">第二条 </w:t>
      </w:r>
      <w:r>
        <w:rPr>
          <w:rFonts w:hint="eastAsia" w:ascii="仿宋" w:hAnsi="仿宋" w:eastAsia="仿宋" w:cs="宋体"/>
          <w:color w:val="333333"/>
          <w:kern w:val="0"/>
          <w:sz w:val="30"/>
          <w:szCs w:val="30"/>
        </w:rPr>
        <w:t>本办法适用于学校教学科研人员、管理人员和在校学生的各类学术活动。</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p>
    <w:p>
      <w:pPr>
        <w:widowControl/>
        <w:shd w:val="clear" w:color="auto" w:fill="FFFFFF"/>
        <w:adjustRightInd w:val="0"/>
        <w:snapToGrid w:val="0"/>
        <w:spacing w:line="440" w:lineRule="exact"/>
        <w:jc w:val="center"/>
        <w:rPr>
          <w:rStyle w:val="5"/>
          <w:rFonts w:ascii="仿宋" w:hAnsi="仿宋" w:eastAsia="仿宋"/>
          <w:color w:val="333333"/>
          <w:sz w:val="30"/>
          <w:szCs w:val="30"/>
        </w:rPr>
      </w:pPr>
      <w:r>
        <w:rPr>
          <w:rStyle w:val="5"/>
          <w:rFonts w:hint="eastAsia" w:ascii="仿宋" w:hAnsi="仿宋" w:eastAsia="仿宋"/>
          <w:color w:val="333333"/>
          <w:sz w:val="30"/>
          <w:szCs w:val="30"/>
        </w:rPr>
        <w:t>第二章 教育与预防</w:t>
      </w:r>
    </w:p>
    <w:p>
      <w:pPr>
        <w:widowControl/>
        <w:shd w:val="clear" w:color="auto" w:fill="FFFFFF"/>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color w:val="333333"/>
          <w:sz w:val="30"/>
          <w:szCs w:val="30"/>
        </w:rPr>
        <w:t xml:space="preserve">第三条 </w:t>
      </w:r>
      <w:r>
        <w:rPr>
          <w:rFonts w:hint="eastAsia" w:ascii="仿宋" w:hAnsi="仿宋" w:eastAsia="仿宋" w:cs="宋体"/>
          <w:color w:val="333333"/>
          <w:kern w:val="0"/>
          <w:sz w:val="30"/>
          <w:szCs w:val="30"/>
        </w:rPr>
        <w:t>学校教学科研人员、管理人员、学生在科研活动中应当遵循实事求是的科学精神和严谨认真的治学态度，恪守学术诚信，遵循学术准则，尊重和保护他人知识产权等合法权益。</w:t>
      </w:r>
    </w:p>
    <w:p>
      <w:pPr>
        <w:widowControl/>
        <w:shd w:val="clear" w:color="auto" w:fill="FFFFFF"/>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color w:val="333333"/>
          <w:sz w:val="30"/>
          <w:szCs w:val="30"/>
        </w:rPr>
        <w:t xml:space="preserve">第四条 </w:t>
      </w:r>
      <w:r>
        <w:rPr>
          <w:rFonts w:hint="eastAsia" w:ascii="仿宋" w:hAnsi="仿宋" w:eastAsia="仿宋" w:cs="宋体"/>
          <w:color w:val="333333"/>
          <w:kern w:val="0"/>
          <w:sz w:val="30"/>
          <w:szCs w:val="30"/>
        </w:rPr>
        <w:t>学校将学术规范和学术诚信教育，作为教师培训和学生教育的必要内容，以多种形式开展教育、培训。</w:t>
      </w:r>
    </w:p>
    <w:p>
      <w:pPr>
        <w:widowControl/>
        <w:shd w:val="clear" w:color="auto" w:fill="FFFFFF"/>
        <w:adjustRightInd w:val="0"/>
        <w:snapToGrid w:val="0"/>
        <w:spacing w:line="440" w:lineRule="exact"/>
        <w:ind w:firstLine="645"/>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教师对其指导的学生应当进行学术规范、学术诚信教育和指导，对学生研究撰写论文、公开发表论文是否符合学术规范、学术诚信要求，进行必要的检查与审核。</w:t>
      </w:r>
    </w:p>
    <w:p>
      <w:pPr>
        <w:widowControl/>
        <w:shd w:val="clear" w:color="auto" w:fill="FFFFFF"/>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color w:val="333333"/>
          <w:sz w:val="30"/>
          <w:szCs w:val="30"/>
        </w:rPr>
        <w:t>第五条</w:t>
      </w:r>
      <w:r>
        <w:rPr>
          <w:rFonts w:hint="eastAsia" w:ascii="仿宋" w:hAnsi="仿宋" w:eastAsia="仿宋" w:cs="宋体"/>
          <w:color w:val="333333"/>
          <w:kern w:val="0"/>
          <w:sz w:val="30"/>
          <w:szCs w:val="30"/>
        </w:rPr>
        <w:t xml:space="preserve"> 学校利用信息技术等手段，建立对学术成果所涉及内容的知识产权查询制度，健全学术规范监督机制。</w:t>
      </w:r>
    </w:p>
    <w:p>
      <w:pPr>
        <w:widowControl/>
        <w:shd w:val="clear" w:color="auto" w:fill="FFFFFF"/>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color w:val="333333"/>
          <w:sz w:val="30"/>
          <w:szCs w:val="30"/>
        </w:rPr>
        <w:t>第六条</w:t>
      </w:r>
      <w:r>
        <w:rPr>
          <w:rFonts w:hint="eastAsia" w:ascii="仿宋" w:hAnsi="仿宋" w:eastAsia="仿宋" w:cs="宋体"/>
          <w:color w:val="333333"/>
          <w:kern w:val="0"/>
          <w:sz w:val="30"/>
          <w:szCs w:val="30"/>
        </w:rPr>
        <w:t xml:space="preserve"> 学校建立健全科研管理制度，在合理期限内保存研究的原始数据和资料，保证科研档案和数据的真实性、完整性。</w:t>
      </w:r>
    </w:p>
    <w:p>
      <w:pPr>
        <w:widowControl/>
        <w:shd w:val="clear" w:color="auto" w:fill="FFFFFF"/>
        <w:adjustRightInd w:val="0"/>
        <w:snapToGrid w:val="0"/>
        <w:spacing w:line="440" w:lineRule="exact"/>
        <w:ind w:firstLine="645"/>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学校完善科研项目评审、学术成果鉴定程序，结合学科特点，对非涉密的科研项目申报材料、学术成果的基本信息以适当方式进行公开。</w:t>
      </w:r>
    </w:p>
    <w:p>
      <w:pPr>
        <w:widowControl/>
        <w:shd w:val="clear" w:color="auto" w:fill="FFFFFF"/>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color w:val="333333"/>
          <w:sz w:val="30"/>
          <w:szCs w:val="30"/>
        </w:rPr>
        <w:t>第七条</w:t>
      </w:r>
      <w:r>
        <w:rPr>
          <w:rFonts w:hint="eastAsia" w:ascii="仿宋" w:hAnsi="仿宋" w:eastAsia="仿宋" w:cs="宋体"/>
          <w:color w:val="333333"/>
          <w:kern w:val="0"/>
          <w:sz w:val="30"/>
          <w:szCs w:val="30"/>
        </w:rPr>
        <w:t xml:space="preserve"> 学校遵循学术研究规律，建立科学的学术水平考核评价标准、办法，引导教学科研人员和学生潜心研究，形成具有创新性、独创性的研究成果。</w:t>
      </w:r>
    </w:p>
    <w:p>
      <w:pPr>
        <w:widowControl/>
        <w:shd w:val="clear" w:color="auto" w:fill="FFFFFF"/>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color w:val="333333"/>
          <w:sz w:val="30"/>
          <w:szCs w:val="30"/>
        </w:rPr>
        <w:t>第八条</w:t>
      </w:r>
      <w:r>
        <w:rPr>
          <w:rFonts w:hint="eastAsia" w:ascii="仿宋" w:hAnsi="仿宋" w:eastAsia="仿宋" w:cs="宋体"/>
          <w:color w:val="333333"/>
          <w:kern w:val="0"/>
          <w:sz w:val="30"/>
          <w:szCs w:val="30"/>
        </w:rPr>
        <w:t xml:space="preserve"> 学校建立教学科研人员学术诚信记录，在年度考核、职称评定、岗位聘用、课题立项、人才计划、评优奖励中强化学术诚信考核。</w:t>
      </w:r>
    </w:p>
    <w:p>
      <w:pPr>
        <w:pStyle w:val="2"/>
        <w:shd w:val="clear" w:color="auto" w:fill="FFFFFF"/>
        <w:adjustRightInd w:val="0"/>
        <w:snapToGrid w:val="0"/>
        <w:spacing w:before="0" w:beforeAutospacing="0" w:after="0" w:afterAutospacing="0" w:line="440" w:lineRule="exact"/>
        <w:rPr>
          <w:rStyle w:val="5"/>
          <w:rFonts w:ascii="仿宋" w:hAnsi="仿宋" w:eastAsia="仿宋" w:cstheme="minorBidi"/>
          <w:color w:val="333333"/>
          <w:kern w:val="2"/>
          <w:sz w:val="30"/>
          <w:szCs w:val="30"/>
        </w:rPr>
      </w:pPr>
    </w:p>
    <w:p>
      <w:pPr>
        <w:pStyle w:val="2"/>
        <w:shd w:val="clear" w:color="auto" w:fill="FFFFFF"/>
        <w:adjustRightInd w:val="0"/>
        <w:snapToGrid w:val="0"/>
        <w:spacing w:before="0" w:beforeAutospacing="0" w:after="0" w:afterAutospacing="0" w:line="440" w:lineRule="exact"/>
        <w:jc w:val="center"/>
        <w:rPr>
          <w:rStyle w:val="5"/>
          <w:rFonts w:ascii="仿宋" w:hAnsi="仿宋" w:eastAsia="仿宋" w:cstheme="minorBidi"/>
          <w:color w:val="333333"/>
          <w:kern w:val="2"/>
          <w:sz w:val="30"/>
          <w:szCs w:val="30"/>
        </w:rPr>
      </w:pPr>
      <w:r>
        <w:rPr>
          <w:rStyle w:val="5"/>
          <w:rFonts w:hint="eastAsia" w:ascii="仿宋" w:hAnsi="仿宋" w:eastAsia="仿宋" w:cstheme="minorBidi"/>
          <w:color w:val="333333"/>
          <w:kern w:val="2"/>
          <w:sz w:val="30"/>
          <w:szCs w:val="30"/>
        </w:rPr>
        <w:t>第三章 科研失信行为的认定</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Style w:val="5"/>
          <w:rFonts w:hint="eastAsia" w:ascii="仿宋" w:hAnsi="仿宋" w:eastAsia="仿宋" w:cs="宋体"/>
          <w:color w:val="333333"/>
          <w:sz w:val="30"/>
          <w:szCs w:val="30"/>
        </w:rPr>
        <w:t>第九条</w:t>
      </w:r>
      <w:r>
        <w:rPr>
          <w:rFonts w:ascii="Calibri" w:hAnsi="Calibri" w:eastAsia="仿宋" w:cs="Calibri"/>
          <w:color w:val="333333"/>
          <w:sz w:val="30"/>
          <w:szCs w:val="30"/>
        </w:rPr>
        <w:t> </w:t>
      </w:r>
      <w:r>
        <w:rPr>
          <w:rFonts w:hint="eastAsia" w:ascii="仿宋" w:hAnsi="仿宋" w:eastAsia="仿宋"/>
          <w:color w:val="333333"/>
          <w:sz w:val="30"/>
          <w:szCs w:val="30"/>
        </w:rPr>
        <w:t>违背科研诚信要求的行为（以下简称科研失信行为），是指教学科研人员、管理人员和学生在科学研究及相关活动中发生的违反科学研究行为准则与规范的行为，包括：</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（一）剽窃、抄袭、侵占他人学术成果；</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（二）篡改他人研究成果；</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（三）伪造科研数据、资料、文献、注释，或者捏造事实、编造虚假研究成果；</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（四）未参加研究或创作而在研究成果、学术论文上署名，未经他人许可而不当使用他人署名，虚构合作者共同署名，或者多人共同完成研究而在成果中未注明他人工作、贡献；</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（五）</w:t>
      </w:r>
      <w:r>
        <w:rPr>
          <w:rFonts w:hint="eastAsia" w:ascii="仿宋_GB2312" w:hAnsi="宋体" w:eastAsia="仿宋_GB2312"/>
          <w:color w:val="333333"/>
          <w:sz w:val="32"/>
          <w:szCs w:val="32"/>
        </w:rPr>
        <w:t>在申报课题、成果、奖励和职务评审评定</w:t>
      </w:r>
      <w:r>
        <w:rPr>
          <w:rFonts w:hint="eastAsia" w:ascii="仿宋_GB2312" w:hAnsi="宋体" w:eastAsia="仿宋_GB2312"/>
          <w:color w:val="333333"/>
          <w:sz w:val="32"/>
          <w:szCs w:val="32"/>
          <w:lang w:eastAsia="zh-CN"/>
        </w:rPr>
        <w:t>以及科研项目经费使用</w:t>
      </w:r>
      <w:r>
        <w:rPr>
          <w:rFonts w:hint="eastAsia" w:ascii="仿宋_GB2312" w:hAnsi="宋体" w:eastAsia="仿宋_GB2312"/>
          <w:color w:val="333333"/>
          <w:sz w:val="32"/>
          <w:szCs w:val="32"/>
        </w:rPr>
        <w:t>等过程中提供虚假信息；</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（六）买卖论文、由他人代写或者为他人代写论文；</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（七）其他科研失信行为。</w:t>
      </w:r>
    </w:p>
    <w:p>
      <w:pPr>
        <w:autoSpaceDE w:val="0"/>
        <w:autoSpaceDN w:val="0"/>
        <w:adjustRightInd w:val="0"/>
        <w:snapToGrid w:val="0"/>
        <w:spacing w:line="440" w:lineRule="exact"/>
        <w:jc w:val="left"/>
        <w:rPr>
          <w:rFonts w:ascii="仿宋" w:hAnsi="仿宋" w:eastAsia="仿宋"/>
          <w:color w:val="333333"/>
          <w:sz w:val="30"/>
          <w:szCs w:val="30"/>
        </w:rPr>
      </w:pPr>
    </w:p>
    <w:p>
      <w:pPr>
        <w:autoSpaceDE w:val="0"/>
        <w:autoSpaceDN w:val="0"/>
        <w:adjustRightInd w:val="0"/>
        <w:snapToGrid w:val="0"/>
        <w:spacing w:line="440" w:lineRule="exact"/>
        <w:jc w:val="center"/>
        <w:rPr>
          <w:rStyle w:val="5"/>
          <w:rFonts w:ascii="仿宋" w:hAnsi="仿宋" w:eastAsia="仿宋"/>
          <w:color w:val="333333"/>
          <w:sz w:val="30"/>
          <w:szCs w:val="30"/>
        </w:rPr>
      </w:pPr>
      <w:r>
        <w:rPr>
          <w:rStyle w:val="5"/>
          <w:rFonts w:hint="eastAsia" w:ascii="仿宋" w:hAnsi="仿宋" w:eastAsia="仿宋"/>
          <w:color w:val="333333"/>
          <w:sz w:val="30"/>
          <w:szCs w:val="30"/>
        </w:rPr>
        <w:t>第四章 科研失信行为的受理调查</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 xml:space="preserve">第十条 </w:t>
      </w:r>
      <w:r>
        <w:rPr>
          <w:rStyle w:val="5"/>
          <w:rFonts w:hint="eastAsia" w:ascii="仿宋" w:hAnsi="仿宋" w:eastAsia="仿宋"/>
          <w:b w:val="0"/>
          <w:bCs w:val="0"/>
          <w:color w:val="333333"/>
          <w:sz w:val="30"/>
          <w:szCs w:val="30"/>
        </w:rPr>
        <w:t>科研失信行为</w:t>
      </w:r>
      <w:r>
        <w:rPr>
          <w:rFonts w:hint="eastAsia" w:ascii="仿宋" w:hAnsi="仿宋" w:eastAsia="仿宋"/>
          <w:color w:val="333333"/>
          <w:sz w:val="30"/>
          <w:szCs w:val="30"/>
        </w:rPr>
        <w:t>的举报，鼓励以书面方式实名提出，并符合下列条件：</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（一）有明确的举报对象；</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（二）有明确的违规事实；</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（三）有客观、明确的证据材料或查证线索。</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以匿名方式举报，一般不予受理，但事实清楚、证据充分或者线索明确的，应当予以受理。</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第十一条</w:t>
      </w:r>
      <w:r>
        <w:rPr>
          <w:rFonts w:hint="eastAsia" w:ascii="仿宋" w:hAnsi="仿宋" w:eastAsia="仿宋"/>
          <w:color w:val="333333"/>
          <w:sz w:val="30"/>
          <w:szCs w:val="30"/>
        </w:rPr>
        <w:t xml:space="preserve"> 对媒体公开报道、其他学术机构或者社会组织主动披露的涉及本校人员的</w:t>
      </w:r>
      <w:r>
        <w:rPr>
          <w:rStyle w:val="5"/>
          <w:rFonts w:hint="eastAsia" w:ascii="仿宋" w:hAnsi="仿宋" w:eastAsia="仿宋"/>
          <w:b w:val="0"/>
          <w:bCs w:val="0"/>
          <w:color w:val="333333"/>
          <w:sz w:val="30"/>
          <w:szCs w:val="30"/>
        </w:rPr>
        <w:t>科研失信行为</w:t>
      </w:r>
      <w:r>
        <w:rPr>
          <w:rFonts w:hint="eastAsia" w:ascii="仿宋" w:hAnsi="仿宋" w:eastAsia="仿宋"/>
          <w:color w:val="333333"/>
          <w:sz w:val="30"/>
          <w:szCs w:val="30"/>
        </w:rPr>
        <w:t>，应当主动进行调查处理。</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第十二条</w:t>
      </w:r>
      <w:r>
        <w:rPr>
          <w:rFonts w:hint="eastAsia" w:ascii="仿宋" w:hAnsi="仿宋" w:eastAsia="仿宋"/>
          <w:color w:val="333333"/>
          <w:sz w:val="30"/>
          <w:szCs w:val="30"/>
        </w:rPr>
        <w:t xml:space="preserve"> 学校科研处负责对收到的有关</w:t>
      </w:r>
      <w:r>
        <w:rPr>
          <w:rStyle w:val="5"/>
          <w:rFonts w:hint="eastAsia" w:ascii="仿宋" w:hAnsi="仿宋" w:eastAsia="仿宋"/>
          <w:b w:val="0"/>
          <w:bCs w:val="0"/>
          <w:color w:val="333333"/>
          <w:sz w:val="30"/>
          <w:szCs w:val="30"/>
        </w:rPr>
        <w:t>科研失信行为</w:t>
      </w:r>
      <w:r>
        <w:rPr>
          <w:rFonts w:hint="eastAsia" w:ascii="仿宋" w:hAnsi="仿宋" w:eastAsia="仿宋"/>
          <w:color w:val="333333"/>
          <w:sz w:val="30"/>
          <w:szCs w:val="30"/>
        </w:rPr>
        <w:t>的举报材料进行登记。举报材料符合条件的，应当及时作出受理决定，并通知举报人。不予受理的，应当书面说明理由。</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 xml:space="preserve">第十三条 </w:t>
      </w:r>
      <w:r>
        <w:rPr>
          <w:rStyle w:val="5"/>
          <w:rFonts w:hint="eastAsia" w:ascii="仿宋" w:hAnsi="仿宋" w:eastAsia="仿宋"/>
          <w:b w:val="0"/>
          <w:bCs w:val="0"/>
          <w:color w:val="333333"/>
          <w:sz w:val="30"/>
          <w:szCs w:val="30"/>
        </w:rPr>
        <w:t>科研失信行为</w:t>
      </w:r>
      <w:r>
        <w:rPr>
          <w:rFonts w:hint="eastAsia" w:ascii="仿宋" w:hAnsi="仿宋" w:eastAsia="仿宋"/>
          <w:color w:val="333333"/>
          <w:sz w:val="30"/>
          <w:szCs w:val="30"/>
        </w:rPr>
        <w:t>举报受理后，应当交由学校学术委员会按照相关程序组织开展调查。</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学术委员会可委托有关专家就举报内容的合理性、调查的可能性等进行初步审查，并作出是否进入正式调查的决定。</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决定不进入正式调查的，应当告知举报人。举报人如有新的证据，可以提出异议。异议成立的，应当进入正式调查。</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 xml:space="preserve">第十四条 </w:t>
      </w:r>
      <w:r>
        <w:rPr>
          <w:rFonts w:hint="eastAsia" w:ascii="仿宋" w:hAnsi="仿宋" w:eastAsia="仿宋"/>
          <w:color w:val="333333"/>
          <w:sz w:val="30"/>
          <w:szCs w:val="30"/>
        </w:rPr>
        <w:t>学校学术委员会决定进入正式调查的，应当通知被举报人。</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被调查行为涉及资助项目的，可以同时通知项目资助方。</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第十五条</w:t>
      </w:r>
      <w:r>
        <w:rPr>
          <w:rFonts w:hint="eastAsia" w:ascii="仿宋" w:hAnsi="仿宋" w:eastAsia="仿宋"/>
          <w:color w:val="333333"/>
          <w:sz w:val="30"/>
          <w:szCs w:val="30"/>
        </w:rPr>
        <w:t xml:space="preserve"> 学校学术委员会应当组成调查组，负责对被举报行为进行调查；但对事实清楚、证据确凿、情节简单的被举报行为，也可以采用简易调查程序，具体办法由学术委员会确定。</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调查组应当不少于3人，必要时应当包括学校纪检监察处指派的工作人员，可以邀请同行专家参与调查或者以咨询等方式提供学术判断。</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被调查行为涉及资助项目的，可以邀请项目资助方委派相关专业人员参与调查组。</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第十六条</w:t>
      </w:r>
      <w:r>
        <w:rPr>
          <w:rFonts w:hint="eastAsia" w:ascii="仿宋" w:hAnsi="仿宋" w:eastAsia="仿宋"/>
          <w:color w:val="333333"/>
          <w:sz w:val="30"/>
          <w:szCs w:val="30"/>
        </w:rPr>
        <w:t xml:space="preserve"> 调查组的组成人员与举报人或者被举报人有合作研究、亲属或者师生等直接利害关系的，应当回避。</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第十七条</w:t>
      </w:r>
      <w:r>
        <w:rPr>
          <w:rFonts w:hint="eastAsia" w:ascii="仿宋" w:hAnsi="仿宋" w:eastAsia="仿宋"/>
          <w:color w:val="333333"/>
          <w:sz w:val="30"/>
          <w:szCs w:val="30"/>
        </w:rPr>
        <w:t xml:space="preserve"> 调查可通过查询资料、现场查看、实验检验、询问证人、询问举报人和被举报人等方式进行。调查组认为有必要的，可以委托无利害关系的专家或者第三方专业机构就有关事项进行独立调查或者验证。</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第十八条</w:t>
      </w:r>
      <w:r>
        <w:rPr>
          <w:rFonts w:hint="eastAsia" w:ascii="仿宋" w:hAnsi="仿宋" w:eastAsia="仿宋"/>
          <w:color w:val="333333"/>
          <w:sz w:val="30"/>
          <w:szCs w:val="30"/>
        </w:rPr>
        <w:t xml:space="preserve"> 调查组在调查过程中，应当认真听取被举报人的陈述、申辩，对有关事实、理由和证据进行核实；认为必要的，可以采取听证方式。</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第十九条</w:t>
      </w:r>
      <w:r>
        <w:rPr>
          <w:rFonts w:hint="eastAsia" w:ascii="仿宋" w:hAnsi="仿宋" w:eastAsia="仿宋"/>
          <w:color w:val="333333"/>
          <w:sz w:val="30"/>
          <w:szCs w:val="30"/>
        </w:rPr>
        <w:t xml:space="preserve"> 有关单位和个人应当为调查组开展工作提供必要的便利和协助。</w:t>
      </w:r>
    </w:p>
    <w:p>
      <w:pPr>
        <w:autoSpaceDE w:val="0"/>
        <w:autoSpaceDN w:val="0"/>
        <w:adjustRightInd w:val="0"/>
        <w:snapToGrid w:val="0"/>
        <w:spacing w:line="440" w:lineRule="exact"/>
        <w:ind w:firstLine="600" w:firstLineChars="200"/>
        <w:jc w:val="left"/>
        <w:rPr>
          <w:rFonts w:ascii="仿宋" w:hAnsi="仿宋" w:eastAsia="仿宋"/>
          <w:color w:val="333333"/>
          <w:sz w:val="30"/>
          <w:szCs w:val="30"/>
        </w:rPr>
      </w:pPr>
      <w:r>
        <w:rPr>
          <w:rFonts w:hint="eastAsia" w:ascii="仿宋" w:hAnsi="仿宋" w:eastAsia="仿宋"/>
          <w:color w:val="333333"/>
          <w:sz w:val="30"/>
          <w:szCs w:val="30"/>
        </w:rPr>
        <w:t>举报人、被举报人、证人及其他有关人员应当如实回答询问，配合调查，提供相关证据材料，不得隐瞒或者提供虚假信息。</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第二十条</w:t>
      </w:r>
      <w:r>
        <w:rPr>
          <w:rFonts w:hint="eastAsia" w:ascii="仿宋" w:hAnsi="仿宋" w:eastAsia="仿宋"/>
          <w:color w:val="333333"/>
          <w:sz w:val="30"/>
          <w:szCs w:val="30"/>
        </w:rPr>
        <w:t xml:space="preserve"> 调查过程中，出现知识产权等争议引发的法律纠纷的，且该争议可能影响行为定性的，应当中止调查，待争议解决后重启调查。</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第二十一条</w:t>
      </w:r>
      <w:r>
        <w:rPr>
          <w:rFonts w:hint="eastAsia" w:ascii="仿宋" w:hAnsi="仿宋" w:eastAsia="仿宋"/>
          <w:color w:val="333333"/>
          <w:sz w:val="30"/>
          <w:szCs w:val="30"/>
        </w:rPr>
        <w:t xml:space="preserve"> 调查组应当在查清事实的基础上形成调查报告。调查报告应当包括</w:t>
      </w:r>
      <w:r>
        <w:rPr>
          <w:rStyle w:val="5"/>
          <w:rFonts w:hint="eastAsia" w:ascii="仿宋" w:hAnsi="仿宋" w:eastAsia="仿宋"/>
          <w:b w:val="0"/>
          <w:bCs w:val="0"/>
          <w:color w:val="333333"/>
          <w:sz w:val="30"/>
          <w:szCs w:val="30"/>
        </w:rPr>
        <w:t>科研失信行为</w:t>
      </w:r>
      <w:r>
        <w:rPr>
          <w:rFonts w:hint="eastAsia" w:ascii="仿宋" w:hAnsi="仿宋" w:eastAsia="仿宋"/>
          <w:color w:val="333333"/>
          <w:sz w:val="30"/>
          <w:szCs w:val="30"/>
        </w:rPr>
        <w:t>责任人的确认、调查过程、事实认定及理由、调查结论等。</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Style w:val="5"/>
          <w:rFonts w:hint="eastAsia" w:ascii="仿宋" w:hAnsi="仿宋" w:eastAsia="仿宋"/>
          <w:color w:val="333333"/>
          <w:sz w:val="30"/>
          <w:szCs w:val="30"/>
        </w:rPr>
        <w:t>科研失信行为</w:t>
      </w:r>
      <w:r>
        <w:rPr>
          <w:rFonts w:hint="eastAsia" w:ascii="仿宋" w:hAnsi="仿宋" w:eastAsia="仿宋"/>
          <w:color w:val="333333"/>
          <w:sz w:val="30"/>
          <w:szCs w:val="30"/>
        </w:rPr>
        <w:t>由多人集体做出的，调查报告中应当区别各责任人在行为中所发挥的作用。</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Fonts w:hint="eastAsia" w:ascii="仿宋" w:hAnsi="仿宋" w:eastAsia="仿宋"/>
          <w:b/>
          <w:color w:val="333333"/>
          <w:sz w:val="30"/>
          <w:szCs w:val="30"/>
        </w:rPr>
        <w:t>第二十二条</w:t>
      </w:r>
      <w:r>
        <w:rPr>
          <w:rFonts w:hint="eastAsia" w:ascii="仿宋" w:hAnsi="仿宋" w:eastAsia="仿宋"/>
          <w:color w:val="333333"/>
          <w:sz w:val="30"/>
          <w:szCs w:val="30"/>
        </w:rPr>
        <w:t xml:space="preserve"> 接触举报材料和参与调查处理的人员，不得向无关人员透露举报人、被举报人个人信息及调查情况。</w:t>
      </w:r>
    </w:p>
    <w:p>
      <w:pPr>
        <w:autoSpaceDE w:val="0"/>
        <w:autoSpaceDN w:val="0"/>
        <w:adjustRightInd w:val="0"/>
        <w:snapToGrid w:val="0"/>
        <w:spacing w:line="440" w:lineRule="exact"/>
        <w:ind w:firstLine="600" w:firstLineChars="200"/>
        <w:jc w:val="left"/>
        <w:rPr>
          <w:rFonts w:ascii="仿宋" w:hAnsi="仿宋" w:eastAsia="仿宋" w:cs="仿宋_GB2312"/>
          <w:kern w:val="0"/>
          <w:sz w:val="30"/>
          <w:szCs w:val="30"/>
        </w:rPr>
      </w:pPr>
    </w:p>
    <w:p>
      <w:pPr>
        <w:pStyle w:val="2"/>
        <w:shd w:val="clear" w:color="auto" w:fill="FFFFFF"/>
        <w:adjustRightInd w:val="0"/>
        <w:snapToGrid w:val="0"/>
        <w:spacing w:before="0" w:beforeAutospacing="0" w:after="0" w:afterAutospacing="0" w:line="440" w:lineRule="exact"/>
        <w:jc w:val="center"/>
        <w:rPr>
          <w:rStyle w:val="5"/>
          <w:rFonts w:ascii="仿宋" w:hAnsi="仿宋" w:eastAsia="仿宋"/>
          <w:color w:val="333333"/>
          <w:sz w:val="30"/>
          <w:szCs w:val="30"/>
        </w:rPr>
      </w:pPr>
      <w:r>
        <w:rPr>
          <w:rStyle w:val="5"/>
          <w:rFonts w:hint="eastAsia" w:ascii="仿宋" w:hAnsi="仿宋" w:eastAsia="仿宋"/>
          <w:color w:val="333333"/>
          <w:sz w:val="30"/>
          <w:szCs w:val="30"/>
        </w:rPr>
        <w:t xml:space="preserve">第五章 </w:t>
      </w:r>
      <w:r>
        <w:rPr>
          <w:rStyle w:val="5"/>
          <w:rFonts w:hint="eastAsia" w:ascii="仿宋" w:hAnsi="仿宋" w:eastAsia="仿宋" w:cstheme="minorBidi"/>
          <w:color w:val="333333"/>
          <w:kern w:val="2"/>
          <w:sz w:val="30"/>
          <w:szCs w:val="30"/>
        </w:rPr>
        <w:t>科研失信行为的认定</w:t>
      </w:r>
      <w:r>
        <w:rPr>
          <w:rStyle w:val="5"/>
          <w:rFonts w:hint="eastAsia" w:ascii="仿宋" w:hAnsi="仿宋" w:eastAsia="仿宋"/>
          <w:color w:val="333333"/>
          <w:sz w:val="30"/>
          <w:szCs w:val="30"/>
        </w:rPr>
        <w:t>处理</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Fonts w:hint="eastAsia" w:ascii="仿宋" w:hAnsi="仿宋" w:eastAsia="仿宋" w:cs="宋体"/>
          <w:b/>
          <w:color w:val="333333"/>
          <w:kern w:val="0"/>
          <w:sz w:val="30"/>
          <w:szCs w:val="30"/>
        </w:rPr>
        <w:t>第二十三条</w:t>
      </w:r>
      <w:r>
        <w:rPr>
          <w:rFonts w:hint="eastAsia" w:ascii="仿宋" w:hAnsi="仿宋" w:eastAsia="仿宋" w:cs="宋体"/>
          <w:color w:val="333333"/>
          <w:kern w:val="0"/>
          <w:sz w:val="30"/>
          <w:szCs w:val="30"/>
        </w:rPr>
        <w:t xml:space="preserve"> 学校学术委员会应当对调查组提交的调查报告进行审查；必要的，应当听取调查组的汇报。</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学术委员会可以召开全体会议或者授权专门委员会对被调查行为是否构成</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以及行为的性质、情节等作出认定结论，并依职权作出处理或建议学校作出相应处理。</w:t>
      </w:r>
    </w:p>
    <w:p>
      <w:pPr>
        <w:autoSpaceDE w:val="0"/>
        <w:autoSpaceDN w:val="0"/>
        <w:adjustRightInd w:val="0"/>
        <w:snapToGrid w:val="0"/>
        <w:spacing w:line="440" w:lineRule="exact"/>
        <w:ind w:firstLine="602" w:firstLineChars="200"/>
        <w:jc w:val="left"/>
        <w:rPr>
          <w:rFonts w:ascii="仿宋" w:hAnsi="仿宋" w:eastAsia="仿宋" w:cs="宋体"/>
          <w:kern w:val="0"/>
          <w:sz w:val="30"/>
          <w:szCs w:val="30"/>
        </w:rPr>
      </w:pPr>
      <w:r>
        <w:rPr>
          <w:rFonts w:hint="eastAsia" w:ascii="仿宋" w:hAnsi="仿宋" w:eastAsia="仿宋" w:cs="宋体"/>
          <w:b/>
          <w:color w:val="333333"/>
          <w:kern w:val="0"/>
          <w:sz w:val="30"/>
          <w:szCs w:val="30"/>
        </w:rPr>
        <w:t xml:space="preserve">第二十四条 </w:t>
      </w:r>
      <w:r>
        <w:rPr>
          <w:rFonts w:hint="eastAsia" w:ascii="仿宋" w:hAnsi="仿宋" w:eastAsia="仿宋" w:cs="宋体"/>
          <w:color w:val="333333"/>
          <w:kern w:val="0"/>
          <w:sz w:val="30"/>
          <w:szCs w:val="30"/>
        </w:rPr>
        <w:t>经调查，确认被举报人在科学研究及相关活动中有本办法</w:t>
      </w:r>
      <w:r>
        <w:rPr>
          <w:rFonts w:hint="eastAsia" w:ascii="仿宋" w:hAnsi="仿宋" w:eastAsia="仿宋" w:cs="宋体"/>
          <w:kern w:val="0"/>
          <w:sz w:val="30"/>
          <w:szCs w:val="30"/>
        </w:rPr>
        <w:t>第九条所列行为的，应当认定为构成科研失信行为。</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Fonts w:hint="eastAsia" w:ascii="仿宋" w:hAnsi="仿宋" w:eastAsia="仿宋" w:cs="宋体"/>
          <w:b/>
          <w:kern w:val="0"/>
          <w:sz w:val="30"/>
          <w:szCs w:val="30"/>
        </w:rPr>
        <w:t>第二十五</w:t>
      </w:r>
      <w:r>
        <w:rPr>
          <w:rFonts w:hint="eastAsia" w:ascii="仿宋" w:hAnsi="仿宋" w:eastAsia="仿宋" w:cs="宋体"/>
          <w:b/>
          <w:color w:val="333333"/>
          <w:kern w:val="0"/>
          <w:sz w:val="30"/>
          <w:szCs w:val="30"/>
        </w:rPr>
        <w:t xml:space="preserve">条 </w:t>
      </w:r>
      <w:r>
        <w:rPr>
          <w:rFonts w:hint="eastAsia" w:ascii="仿宋" w:hAnsi="仿宋" w:eastAsia="仿宋" w:cs="宋体"/>
          <w:color w:val="333333"/>
          <w:kern w:val="0"/>
          <w:sz w:val="30"/>
          <w:szCs w:val="30"/>
        </w:rPr>
        <w:t>确定构成</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且有下列情形之一的，应当认定为情节严重：</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（一）造成恶劣影响的；</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（二）存在利益输送或者利益交换的；</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（三）对举报人进行打击报复的；</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（四）有组织实施</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的；</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（五）多次实施</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的；</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（六）其他造成严重后果或者恶劣影响的。</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sz w:val="30"/>
          <w:szCs w:val="30"/>
        </w:rPr>
        <w:t xml:space="preserve">第二十六条 </w:t>
      </w:r>
      <w:r>
        <w:rPr>
          <w:rFonts w:hint="eastAsia" w:ascii="仿宋" w:hAnsi="仿宋" w:eastAsia="仿宋" w:cs="宋体"/>
          <w:color w:val="333333"/>
          <w:kern w:val="0"/>
          <w:sz w:val="30"/>
          <w:szCs w:val="30"/>
        </w:rPr>
        <w:t>学校应当根据学术委员会的认定结论和处理建议，结合行为性质和情节轻重，依职权和规定程序对</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责任人作出如下处理：</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（一）通报批评；</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（二）终止或者撤销相关的科研项目，并在一定期限内取消申请资格；</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（三）撤销学术奖励或者荣誉称号；</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（四）辞退或解聘；</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（五）法律、法规及规章规定的其他处理措施。</w:t>
      </w:r>
    </w:p>
    <w:p>
      <w:pPr>
        <w:autoSpaceDE w:val="0"/>
        <w:autoSpaceDN w:val="0"/>
        <w:adjustRightInd w:val="0"/>
        <w:snapToGrid w:val="0"/>
        <w:spacing w:line="440" w:lineRule="exact"/>
        <w:ind w:firstLine="600" w:firstLineChars="200"/>
        <w:jc w:val="left"/>
        <w:rPr>
          <w:rFonts w:ascii="仿宋" w:hAnsi="仿宋" w:eastAsia="仿宋" w:cs="宋体"/>
          <w:b/>
          <w:bCs/>
          <w:kern w:val="0"/>
          <w:sz w:val="30"/>
          <w:szCs w:val="30"/>
        </w:rPr>
      </w:pPr>
      <w:r>
        <w:rPr>
          <w:rFonts w:hint="eastAsia" w:ascii="仿宋" w:hAnsi="仿宋" w:eastAsia="仿宋" w:cs="宋体"/>
          <w:color w:val="333333"/>
          <w:kern w:val="0"/>
          <w:sz w:val="30"/>
          <w:szCs w:val="30"/>
        </w:rPr>
        <w:t>同时，可以依照有关规定，给予警告、记过、降低岗位等级或者撤职、开除等处分。</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olor w:val="333333"/>
          <w:sz w:val="30"/>
          <w:szCs w:val="30"/>
        </w:rPr>
        <w:t>科研失信行为</w:t>
      </w:r>
      <w:r>
        <w:rPr>
          <w:rFonts w:hint="eastAsia" w:ascii="仿宋" w:hAnsi="仿宋" w:eastAsia="仿宋" w:cs="宋体"/>
          <w:color w:val="333333"/>
          <w:kern w:val="0"/>
          <w:sz w:val="30"/>
          <w:szCs w:val="30"/>
        </w:rPr>
        <w:t>责任人获得有关部门、机构设立的科研项目、学术奖励或者荣誉称号等利益的，学校应当同时向有关主管部门提出处理建议。</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学生有</w:t>
      </w:r>
      <w:r>
        <w:rPr>
          <w:rStyle w:val="5"/>
          <w:rFonts w:hint="eastAsia" w:ascii="仿宋" w:hAnsi="仿宋" w:eastAsia="仿宋"/>
          <w:color w:val="333333"/>
          <w:sz w:val="30"/>
          <w:szCs w:val="30"/>
        </w:rPr>
        <w:t>科研失信行为</w:t>
      </w:r>
      <w:r>
        <w:rPr>
          <w:rFonts w:hint="eastAsia" w:ascii="仿宋" w:hAnsi="仿宋" w:eastAsia="仿宋" w:cs="宋体"/>
          <w:color w:val="333333"/>
          <w:kern w:val="0"/>
          <w:sz w:val="30"/>
          <w:szCs w:val="30"/>
        </w:rPr>
        <w:t>的，还应当按照学生管理的相关规定，给予相应的学籍处分。</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sz w:val="30"/>
          <w:szCs w:val="30"/>
        </w:rPr>
        <w:t xml:space="preserve">第二十七条 </w:t>
      </w:r>
      <w:r>
        <w:rPr>
          <w:rFonts w:hint="eastAsia" w:ascii="仿宋" w:hAnsi="仿宋" w:eastAsia="仿宋" w:cs="宋体"/>
          <w:color w:val="333333"/>
          <w:kern w:val="0"/>
          <w:sz w:val="30"/>
          <w:szCs w:val="30"/>
        </w:rPr>
        <w:t>学校对</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作出处理决定，应当制作处理决定书，载明以下内容：</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（一）责任人的基本情况；</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（二）经查证的</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事实；</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（三）处理意见和依据；</w:t>
      </w:r>
    </w:p>
    <w:p>
      <w:pPr>
        <w:pStyle w:val="2"/>
        <w:shd w:val="clear" w:color="auto" w:fill="FFFFFF"/>
        <w:adjustRightInd w:val="0"/>
        <w:snapToGrid w:val="0"/>
        <w:spacing w:before="0" w:beforeAutospacing="0" w:after="0" w:afterAutospacing="0" w:line="440" w:lineRule="exact"/>
        <w:ind w:firstLine="600" w:firstLineChars="200"/>
        <w:rPr>
          <w:rFonts w:ascii="仿宋" w:hAnsi="仿宋" w:eastAsia="仿宋"/>
          <w:b/>
          <w:bCs/>
          <w:sz w:val="30"/>
          <w:szCs w:val="30"/>
        </w:rPr>
      </w:pPr>
      <w:r>
        <w:rPr>
          <w:rFonts w:hint="eastAsia" w:ascii="仿宋" w:hAnsi="仿宋" w:eastAsia="仿宋"/>
          <w:color w:val="333333"/>
          <w:sz w:val="30"/>
          <w:szCs w:val="30"/>
        </w:rPr>
        <w:t>（四）救济途径和期限；</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（五）其他必要内容。</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sz w:val="30"/>
          <w:szCs w:val="30"/>
        </w:rPr>
        <w:t xml:space="preserve">第二十八条 </w:t>
      </w:r>
      <w:r>
        <w:rPr>
          <w:rFonts w:hint="eastAsia" w:ascii="仿宋" w:hAnsi="仿宋" w:eastAsia="仿宋" w:cs="宋体"/>
          <w:color w:val="333333"/>
          <w:kern w:val="0"/>
          <w:sz w:val="30"/>
          <w:szCs w:val="30"/>
        </w:rPr>
        <w:t>经调查认定，不构成</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的，根据被举报人申请，学校应当通过一定方式为其消除影响、恢复名誉等。</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调查处理过程中，发现举报人存在捏造事实、诬告陷害等行为的，应当认定为举报不实或者虚假举报，举报人应当承担相应责任。举报人为本校的，应当按照学校有关规定给予处理；举报人不属于本校的，应通报其所在单位，并提出处理建议。</w:t>
      </w:r>
    </w:p>
    <w:p>
      <w:pPr>
        <w:autoSpaceDE w:val="0"/>
        <w:autoSpaceDN w:val="0"/>
        <w:adjustRightInd w:val="0"/>
        <w:snapToGrid w:val="0"/>
        <w:spacing w:line="440" w:lineRule="exact"/>
        <w:ind w:firstLine="602" w:firstLineChars="200"/>
        <w:jc w:val="left"/>
        <w:rPr>
          <w:rFonts w:ascii="仿宋" w:hAnsi="仿宋" w:eastAsia="仿宋" w:cs="宋体"/>
          <w:b/>
          <w:bCs/>
          <w:kern w:val="0"/>
          <w:sz w:val="30"/>
          <w:szCs w:val="30"/>
        </w:rPr>
      </w:pPr>
      <w:r>
        <w:rPr>
          <w:rStyle w:val="5"/>
          <w:rFonts w:hint="eastAsia" w:ascii="仿宋" w:hAnsi="仿宋" w:eastAsia="仿宋" w:cs="宋体"/>
          <w:sz w:val="30"/>
          <w:szCs w:val="30"/>
        </w:rPr>
        <w:t xml:space="preserve">第二十九条 </w:t>
      </w:r>
      <w:r>
        <w:rPr>
          <w:rFonts w:hint="eastAsia" w:ascii="仿宋" w:hAnsi="仿宋" w:eastAsia="仿宋" w:cs="宋体"/>
          <w:color w:val="333333"/>
          <w:kern w:val="0"/>
          <w:sz w:val="30"/>
          <w:szCs w:val="30"/>
        </w:rPr>
        <w:t>参与举报受理、调查和处理的人员违反保密等规定，造成不良影响的，按照有关规定给予处分或其他处理。</w:t>
      </w:r>
    </w:p>
    <w:p>
      <w:pPr>
        <w:pStyle w:val="2"/>
        <w:shd w:val="clear" w:color="auto" w:fill="FFFFFF"/>
        <w:adjustRightInd w:val="0"/>
        <w:snapToGrid w:val="0"/>
        <w:spacing w:before="0" w:beforeAutospacing="0" w:after="0" w:afterAutospacing="0" w:line="440" w:lineRule="exact"/>
        <w:rPr>
          <w:rStyle w:val="5"/>
          <w:rFonts w:ascii="仿宋" w:hAnsi="仿宋" w:eastAsia="仿宋"/>
          <w:color w:val="333333"/>
          <w:sz w:val="30"/>
          <w:szCs w:val="30"/>
        </w:rPr>
      </w:pPr>
    </w:p>
    <w:p>
      <w:pPr>
        <w:pStyle w:val="2"/>
        <w:shd w:val="clear" w:color="auto" w:fill="FFFFFF"/>
        <w:adjustRightInd w:val="0"/>
        <w:snapToGrid w:val="0"/>
        <w:spacing w:before="0" w:beforeAutospacing="0" w:after="0" w:afterAutospacing="0" w:line="440" w:lineRule="exact"/>
        <w:jc w:val="center"/>
        <w:rPr>
          <w:rStyle w:val="5"/>
          <w:rFonts w:ascii="仿宋" w:hAnsi="仿宋" w:eastAsia="仿宋"/>
          <w:color w:val="333333"/>
          <w:sz w:val="30"/>
          <w:szCs w:val="30"/>
        </w:rPr>
      </w:pPr>
      <w:r>
        <w:rPr>
          <w:rStyle w:val="5"/>
          <w:rFonts w:hint="eastAsia" w:ascii="仿宋" w:hAnsi="仿宋" w:eastAsia="仿宋"/>
          <w:color w:val="333333"/>
          <w:sz w:val="30"/>
          <w:szCs w:val="30"/>
        </w:rPr>
        <w:t xml:space="preserve">第六章 </w:t>
      </w:r>
      <w:r>
        <w:rPr>
          <w:rStyle w:val="5"/>
          <w:rFonts w:hint="eastAsia" w:ascii="仿宋" w:hAnsi="仿宋" w:eastAsia="仿宋" w:cstheme="minorBidi"/>
          <w:color w:val="333333"/>
          <w:kern w:val="2"/>
          <w:sz w:val="30"/>
          <w:szCs w:val="30"/>
        </w:rPr>
        <w:t>科研失信行为的</w:t>
      </w:r>
      <w:r>
        <w:rPr>
          <w:rStyle w:val="5"/>
          <w:rFonts w:hint="eastAsia" w:ascii="仿宋" w:hAnsi="仿宋" w:eastAsia="仿宋"/>
          <w:color w:val="333333"/>
          <w:sz w:val="30"/>
          <w:szCs w:val="30"/>
        </w:rPr>
        <w:t>申诉复查</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sz w:val="30"/>
          <w:szCs w:val="30"/>
        </w:rPr>
        <w:t>第三十条</w:t>
      </w:r>
      <w:r>
        <w:rPr>
          <w:rFonts w:hint="eastAsia" w:ascii="仿宋" w:hAnsi="仿宋" w:eastAsia="仿宋" w:cs="宋体"/>
          <w:color w:val="333333"/>
          <w:kern w:val="0"/>
          <w:sz w:val="30"/>
          <w:szCs w:val="30"/>
        </w:rPr>
        <w:t xml:space="preserve"> 举报人或者</w:t>
      </w:r>
      <w:r>
        <w:rPr>
          <w:rStyle w:val="5"/>
          <w:rFonts w:hint="eastAsia" w:ascii="仿宋" w:hAnsi="仿宋" w:eastAsia="仿宋"/>
          <w:b w:val="0"/>
          <w:bCs w:val="0"/>
          <w:color w:val="333333"/>
          <w:sz w:val="30"/>
          <w:szCs w:val="30"/>
        </w:rPr>
        <w:t>科研失信行为</w:t>
      </w:r>
      <w:r>
        <w:rPr>
          <w:rFonts w:hint="eastAsia" w:ascii="仿宋" w:hAnsi="仿宋" w:eastAsia="仿宋" w:cs="宋体"/>
          <w:color w:val="333333"/>
          <w:kern w:val="0"/>
          <w:sz w:val="30"/>
          <w:szCs w:val="30"/>
        </w:rPr>
        <w:t>责任人对处理决定不服的，可以在收到处理决定之日起30日内，以书面形式向学校提出异议或者复核申请。</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异议和复核不影响处理决定的执行。</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sz w:val="30"/>
          <w:szCs w:val="30"/>
        </w:rPr>
        <w:t xml:space="preserve">第三十一条 </w:t>
      </w:r>
      <w:r>
        <w:rPr>
          <w:rFonts w:hint="eastAsia" w:ascii="仿宋" w:hAnsi="仿宋" w:eastAsia="仿宋" w:cs="宋体"/>
          <w:color w:val="333333"/>
          <w:kern w:val="0"/>
          <w:sz w:val="30"/>
          <w:szCs w:val="30"/>
        </w:rPr>
        <w:t>学校收到异议或者复核申请后，应当交由学术委员会组织讨论，并于15日内作出是否受理的决定。</w:t>
      </w:r>
    </w:p>
    <w:p>
      <w:pPr>
        <w:autoSpaceDE w:val="0"/>
        <w:autoSpaceDN w:val="0"/>
        <w:adjustRightInd w:val="0"/>
        <w:snapToGrid w:val="0"/>
        <w:spacing w:line="44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决定受理的，学校或者学术委员会可以另行组织调查组或者委托第三方机构进行调查；决定不予受理的，应当书面通知当事人。</w:t>
      </w:r>
    </w:p>
    <w:p>
      <w:pPr>
        <w:autoSpaceDE w:val="0"/>
        <w:autoSpaceDN w:val="0"/>
        <w:adjustRightInd w:val="0"/>
        <w:snapToGrid w:val="0"/>
        <w:spacing w:line="440" w:lineRule="exact"/>
        <w:ind w:firstLine="602" w:firstLineChars="200"/>
        <w:jc w:val="left"/>
        <w:rPr>
          <w:rFonts w:ascii="仿宋" w:hAnsi="仿宋" w:eastAsia="仿宋" w:cs="宋体"/>
          <w:color w:val="333333"/>
          <w:kern w:val="0"/>
          <w:sz w:val="30"/>
          <w:szCs w:val="30"/>
        </w:rPr>
      </w:pPr>
      <w:r>
        <w:rPr>
          <w:rStyle w:val="5"/>
          <w:rFonts w:hint="eastAsia" w:ascii="仿宋" w:hAnsi="仿宋" w:eastAsia="仿宋" w:cs="宋体"/>
          <w:sz w:val="30"/>
          <w:szCs w:val="30"/>
        </w:rPr>
        <w:t xml:space="preserve">第三十二条 </w:t>
      </w:r>
      <w:r>
        <w:rPr>
          <w:rFonts w:hint="eastAsia" w:ascii="仿宋" w:hAnsi="仿宋" w:eastAsia="仿宋" w:cs="宋体"/>
          <w:color w:val="333333"/>
          <w:kern w:val="0"/>
          <w:sz w:val="30"/>
          <w:szCs w:val="30"/>
        </w:rPr>
        <w:t>当事人对复核决定不服，仍以同一事实和理由提出异议或者申请复核的，不予受理；向有关主管部门提出申诉的，按照相关规定执行。</w:t>
      </w:r>
    </w:p>
    <w:p>
      <w:pPr>
        <w:autoSpaceDE w:val="0"/>
        <w:autoSpaceDN w:val="0"/>
        <w:adjustRightInd w:val="0"/>
        <w:snapToGrid w:val="0"/>
        <w:spacing w:line="440" w:lineRule="exact"/>
        <w:jc w:val="left"/>
        <w:rPr>
          <w:rFonts w:ascii="仿宋" w:hAnsi="仿宋" w:eastAsia="仿宋"/>
          <w:color w:val="333333"/>
          <w:sz w:val="30"/>
          <w:szCs w:val="30"/>
        </w:rPr>
      </w:pPr>
    </w:p>
    <w:p>
      <w:pPr>
        <w:autoSpaceDE w:val="0"/>
        <w:autoSpaceDN w:val="0"/>
        <w:adjustRightInd w:val="0"/>
        <w:snapToGrid w:val="0"/>
        <w:spacing w:line="440" w:lineRule="exact"/>
        <w:jc w:val="center"/>
        <w:rPr>
          <w:rStyle w:val="5"/>
          <w:rFonts w:ascii="仿宋" w:hAnsi="仿宋" w:eastAsia="仿宋"/>
          <w:color w:val="333333"/>
          <w:sz w:val="30"/>
          <w:szCs w:val="30"/>
        </w:rPr>
      </w:pPr>
      <w:r>
        <w:rPr>
          <w:rStyle w:val="5"/>
          <w:rFonts w:hint="eastAsia" w:ascii="仿宋" w:hAnsi="仿宋" w:eastAsia="仿宋"/>
          <w:color w:val="333333"/>
          <w:sz w:val="30"/>
          <w:szCs w:val="30"/>
        </w:rPr>
        <w:t>第七章 附则</w:t>
      </w:r>
    </w:p>
    <w:p>
      <w:pPr>
        <w:autoSpaceDE w:val="0"/>
        <w:autoSpaceDN w:val="0"/>
        <w:adjustRightInd w:val="0"/>
        <w:snapToGrid w:val="0"/>
        <w:spacing w:line="440" w:lineRule="exact"/>
        <w:ind w:firstLine="602" w:firstLineChars="200"/>
        <w:jc w:val="left"/>
        <w:rPr>
          <w:rFonts w:ascii="仿宋" w:hAnsi="仿宋" w:eastAsia="仿宋"/>
          <w:color w:val="333333"/>
          <w:sz w:val="30"/>
          <w:szCs w:val="30"/>
        </w:rPr>
      </w:pPr>
      <w:r>
        <w:rPr>
          <w:rStyle w:val="5"/>
          <w:rFonts w:hint="eastAsia" w:ascii="仿宋" w:hAnsi="仿宋" w:eastAsia="仿宋" w:cs="宋体"/>
          <w:sz w:val="30"/>
          <w:szCs w:val="30"/>
        </w:rPr>
        <w:t xml:space="preserve">第三十三条 </w:t>
      </w:r>
      <w:r>
        <w:rPr>
          <w:rFonts w:hint="eastAsia" w:ascii="仿宋" w:hAnsi="仿宋" w:eastAsia="仿宋"/>
          <w:color w:val="333333"/>
          <w:sz w:val="30"/>
          <w:szCs w:val="30"/>
        </w:rPr>
        <w:t>本办法由学校学术委员会秘书处负责解释。</w:t>
      </w:r>
    </w:p>
    <w:p>
      <w:pPr>
        <w:pStyle w:val="2"/>
        <w:shd w:val="clear" w:color="auto" w:fill="FFFFFF"/>
        <w:adjustRightInd w:val="0"/>
        <w:snapToGrid w:val="0"/>
        <w:spacing w:before="0" w:beforeAutospacing="0" w:after="0" w:afterAutospacing="0" w:line="440" w:lineRule="exact"/>
        <w:ind w:firstLine="602" w:firstLineChars="200"/>
        <w:rPr>
          <w:rFonts w:ascii="仿宋" w:hAnsi="仿宋" w:eastAsia="仿宋" w:cstheme="minorBidi"/>
          <w:color w:val="333333"/>
          <w:kern w:val="2"/>
          <w:sz w:val="30"/>
          <w:szCs w:val="30"/>
        </w:rPr>
      </w:pPr>
      <w:r>
        <w:rPr>
          <w:rStyle w:val="5"/>
          <w:rFonts w:hint="eastAsia" w:ascii="仿宋" w:hAnsi="仿宋" w:eastAsia="仿宋"/>
          <w:sz w:val="30"/>
          <w:szCs w:val="30"/>
        </w:rPr>
        <w:t xml:space="preserve">第三十四条 </w:t>
      </w:r>
      <w:r>
        <w:rPr>
          <w:rFonts w:hint="eastAsia" w:ascii="仿宋" w:hAnsi="仿宋" w:eastAsia="仿宋" w:cstheme="minorBidi"/>
          <w:color w:val="333333"/>
          <w:kern w:val="2"/>
          <w:sz w:val="30"/>
          <w:szCs w:val="30"/>
        </w:rPr>
        <w:t>本办法自公布之日起施行。</w:t>
      </w:r>
    </w:p>
    <w:p>
      <w:pPr>
        <w:spacing w:line="560" w:lineRule="exact"/>
        <w:rPr>
          <w:rFonts w:hint="eastAsia" w:ascii="仿宋" w:hAnsi="仿宋" w:eastAsia="仿宋"/>
          <w:sz w:val="28"/>
          <w:szCs w:val="28"/>
        </w:rPr>
      </w:pPr>
      <w:bookmarkStart w:id="0" w:name="抄送单位"/>
      <w:bookmarkEnd w:id="0"/>
      <w:r>
        <w:rPr>
          <w:rFonts w:hint="eastAsia" w:ascii="仿宋" w:hAnsi="仿宋" w:eastAsia="仿宋"/>
          <w:sz w:val="28"/>
          <w:szCs w:val="28"/>
        </w:rPr>
        <w:t xml:space="preserve">                                 </w:t>
      </w:r>
    </w:p>
    <w:p>
      <w:pPr>
        <w:spacing w:line="560" w:lineRule="exact"/>
        <w:ind w:left="210" w:leftChars="100" w:right="210" w:rightChars="100"/>
        <w:rPr>
          <w:rFonts w:hint="eastAsia"/>
          <w:sz w:val="24"/>
          <w:szCs w:val="24"/>
        </w:rPr>
      </w:pPr>
      <w:r>
        <w:rPr>
          <w:rFonts w:ascii="仿宋" w:hAnsi="仿宋" w:eastAsia="仿宋"/>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50800</wp:posOffset>
                </wp:positionV>
                <wp:extent cx="561911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pt;width:442.45pt;z-index:251658240;mso-width-relative:page;mso-height-relative:page;" filled="f" stroked="t" coordsize="21600,21600" o:gfxdata="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WotVtMAAAAEAQAADwAAAAAAAAABACAA&#10;AAAiAAAAZHJzL2Rvd25yZXYueG1sUEsBAhQAFAAAAAgAh07iQOgZmHPZAQAAlgMAAA4AAAAAAAAA&#10;AQAgAAAAIgEAAGRycy9lMm9Eb2MueG1sUEsFBgAAAAAGAAYAWQEAAG0FAAAAAA==&#10;">
                <v:fill on="f" focussize="0,0"/>
                <v:stroke color="#000000" joinstyle="round"/>
                <v:imagedata o:title=""/>
                <o:lock v:ext="edit" aspectratio="f"/>
              </v:line>
            </w:pict>
          </mc:Fallback>
        </mc:AlternateContent>
      </w:r>
      <w:r>
        <w:rPr>
          <w:rFonts w:hint="eastAsia" w:ascii="仿宋" w:hAnsi="仿宋" w:eastAsia="仿宋"/>
          <w:sz w:val="28"/>
          <w:szCs w:val="28"/>
        </w:rPr>
        <w:t>浙江经济职业技术学院办公室</w:t>
      </w:r>
      <w:r>
        <w:rPr>
          <w:rFonts w:hint="eastAsia" w:ascii="仿宋_GB2312" w:eastAsia="仿宋_GB2312"/>
          <w:sz w:val="28"/>
          <w:szCs w:val="28"/>
        </w:rPr>
        <w:t xml:space="preserve">   </w:t>
      </w:r>
      <w:bookmarkStart w:id="1" w:name="日期"/>
      <w:r>
        <w:rPr>
          <w:rFonts w:hint="eastAsia" w:ascii="仿宋_GB2312" w:eastAsia="仿宋_GB2312"/>
          <w:sz w:val="28"/>
          <w:szCs w:val="28"/>
        </w:rPr>
        <w:t xml:space="preserve">          201</w:t>
      </w:r>
      <w:r>
        <w:rPr>
          <w:rFonts w:hint="eastAsia" w:ascii="仿宋_GB2312" w:eastAsia="仿宋_GB2312"/>
          <w:sz w:val="28"/>
          <w:szCs w:val="28"/>
          <w:lang w:val="en-US" w:eastAsia="zh-CN"/>
        </w:rPr>
        <w:t>9</w:t>
      </w:r>
      <w:r>
        <w:rPr>
          <w:rFonts w:hint="eastAsia" w:ascii="仿宋_GB2312" w:eastAsia="仿宋_GB2312"/>
          <w:sz w:val="28"/>
          <w:szCs w:val="28"/>
        </w:rPr>
        <w:t>年1</w:t>
      </w:r>
      <w:r>
        <w:rPr>
          <w:rFonts w:hint="eastAsia" w:ascii="仿宋_GB2312" w:eastAsia="仿宋_GB2312"/>
          <w:sz w:val="28"/>
          <w:szCs w:val="28"/>
          <w:lang w:val="en-US" w:eastAsia="zh-CN"/>
        </w:rPr>
        <w:t>0</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bookmarkEnd w:id="1"/>
      <w:r>
        <w:rPr>
          <w:rFonts w:hint="eastAsia" w:ascii="仿宋" w:hAnsi="仿宋" w:eastAsia="仿宋"/>
          <w:sz w:val="28"/>
          <w:szCs w:val="28"/>
        </w:rPr>
        <w:t>印发</w:t>
      </w:r>
    </w:p>
    <w:p>
      <w:pPr>
        <w:rPr>
          <w:rFonts w:ascii="宋体" w:hAnsi="宋体" w:eastAsia="宋体" w:cs="宋体"/>
          <w:color w:val="000000"/>
          <w:kern w:val="0"/>
          <w:sz w:val="36"/>
          <w:szCs w:val="36"/>
          <w:lang w:bidi="ar"/>
        </w:rPr>
      </w:pPr>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561911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05pt;height:0pt;width:442.45pt;z-index:251659264;mso-width-relative:page;mso-height-relative:page;" filled="f" stroked="t" coordsize="21600,21600" o:gfxdata="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wz1LTAAAABgEAAA8AAAAAAAAAAQAg&#10;AAAAIgAAAGRycy9kb3ducmV2LnhtbFBLAQIUABQAAAAIAIdO4kDbpDTE2gEAAJYDAAAOAAAAAAAA&#10;AAEAIAAAACIBAABkcnMvZTJvRG9jLnhtbFBLBQYAAAAABgAGAFkBAABuBQAAAAA=&#10;">
                <v:fill on="f" focussize="0,0"/>
                <v:stroke color="#000000" joinstyle="round"/>
                <v:imagedata o:title=""/>
                <o:lock v:ext="edit" aspectratio="f"/>
              </v:line>
            </w:pict>
          </mc:Fallback>
        </mc:AlternateContent>
      </w:r>
    </w:p>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C7720"/>
    <w:rsid w:val="4D1C77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2019-11-18T02:54:00Z</dcterms:created>
  <dc:creator>Dell</dc:creator>
  <cp:lastModifiedBy>Dell</cp:lastModifiedBy>
  <cp:lastPrinted>2019-11-18T02:57:19Z</cp:lastPrinted>
  <dcterms:modified xsi:type="dcterms:W3CDTF">2019-11-18T03:00:31Z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