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eastAsia="仿宋_GB2312" w:cs="仿宋_GB2312"/>
          <w:color w:val="000000"/>
          <w:sz w:val="21"/>
          <w:szCs w:val="21"/>
        </w:rPr>
      </w:pPr>
    </w:p>
    <w:p>
      <w:pPr>
        <w:spacing w:line="560" w:lineRule="exact"/>
        <w:jc w:val="center"/>
        <w:rPr>
          <w:rFonts w:hint="eastAsia" w:ascii="仿宋_GB2312" w:eastAsia="仿宋_GB2312" w:cs="仿宋_GB2312"/>
          <w:color w:val="000000"/>
          <w:sz w:val="21"/>
          <w:szCs w:val="21"/>
        </w:rPr>
      </w:pPr>
    </w:p>
    <w:p>
      <w:pPr>
        <w:spacing w:line="560" w:lineRule="exact"/>
        <w:jc w:val="center"/>
        <w:rPr>
          <w:rFonts w:hint="eastAsia" w:ascii="仿宋_GB2312" w:eastAsia="仿宋_GB2312" w:cs="仿宋_GB2312"/>
          <w:color w:val="000000"/>
          <w:sz w:val="21"/>
          <w:szCs w:val="21"/>
        </w:rPr>
      </w:pPr>
    </w:p>
    <w:p>
      <w:pPr>
        <w:spacing w:line="560" w:lineRule="exact"/>
        <w:jc w:val="center"/>
        <w:rPr>
          <w:rFonts w:hint="eastAsia" w:ascii="仿宋_GB2312" w:eastAsia="仿宋_GB2312" w:cs="仿宋_GB2312"/>
          <w:color w:val="000000"/>
          <w:sz w:val="21"/>
          <w:szCs w:val="21"/>
        </w:rPr>
      </w:pPr>
    </w:p>
    <w:p>
      <w:pPr>
        <w:spacing w:line="560" w:lineRule="exact"/>
        <w:jc w:val="center"/>
        <w:rPr>
          <w:rFonts w:hint="eastAsia" w:ascii="仿宋_GB2312" w:eastAsia="仿宋_GB2312" w:cs="仿宋_GB2312"/>
          <w:color w:val="000000"/>
          <w:sz w:val="21"/>
          <w:szCs w:val="21"/>
        </w:rPr>
      </w:pPr>
    </w:p>
    <w:p>
      <w:pPr>
        <w:spacing w:line="560" w:lineRule="exact"/>
        <w:jc w:val="both"/>
        <w:rPr>
          <w:rFonts w:hint="eastAsia" w:ascii="仿宋_GB2312" w:eastAsia="仿宋_GB2312" w:cs="仿宋_GB2312"/>
          <w:color w:val="000000"/>
          <w:sz w:val="21"/>
          <w:szCs w:val="21"/>
        </w:rPr>
      </w:pPr>
    </w:p>
    <w:p>
      <w:pPr>
        <w:spacing w:line="560" w:lineRule="exact"/>
        <w:jc w:val="both"/>
        <w:rPr>
          <w:rFonts w:hint="eastAsia" w:ascii="仿宋_GB2312" w:eastAsia="仿宋_GB2312" w:cs="仿宋_GB2312"/>
          <w:color w:val="000000"/>
          <w:sz w:val="21"/>
          <w:szCs w:val="21"/>
        </w:rPr>
      </w:pPr>
    </w:p>
    <w:p>
      <w:pPr>
        <w:spacing w:line="560" w:lineRule="exact"/>
        <w:jc w:val="center"/>
        <w:rPr>
          <w:rFonts w:ascii="仿宋_GB2312" w:eastAsia="仿宋_GB2312" w:cs="仿宋_GB2312"/>
          <w:color w:val="000000"/>
          <w:sz w:val="32"/>
          <w:szCs w:val="32"/>
        </w:rPr>
      </w:pPr>
      <w:bookmarkStart w:id="3" w:name="_GoBack"/>
      <w:r>
        <w:rPr>
          <w:rFonts w:hint="eastAsia" w:ascii="仿宋_GB2312" w:eastAsia="仿宋_GB2312" w:cs="仿宋_GB2312"/>
          <w:color w:val="000000"/>
          <w:sz w:val="32"/>
          <w:szCs w:val="32"/>
        </w:rPr>
        <w:t>浙经院〔201</w:t>
      </w:r>
      <w:r>
        <w:rPr>
          <w:rFonts w:ascii="仿宋_GB2312" w:eastAsia="仿宋_GB2312" w:cs="仿宋_GB2312"/>
          <w:color w:val="000000"/>
          <w:sz w:val="32"/>
          <w:szCs w:val="32"/>
        </w:rPr>
        <w:t>9</w:t>
      </w:r>
      <w:r>
        <w:rPr>
          <w:rFonts w:hint="eastAsia" w:ascii="仿宋_GB2312" w:eastAsia="仿宋_GB2312" w:cs="仿宋_GB2312"/>
          <w:color w:val="000000"/>
          <w:sz w:val="32"/>
          <w:szCs w:val="32"/>
        </w:rPr>
        <w:t>〕1</w:t>
      </w:r>
      <w:r>
        <w:rPr>
          <w:rFonts w:ascii="仿宋_GB2312" w:eastAsia="仿宋_GB2312" w:cs="仿宋_GB2312"/>
          <w:color w:val="000000"/>
          <w:sz w:val="32"/>
          <w:szCs w:val="32"/>
        </w:rPr>
        <w:t>50</w:t>
      </w:r>
      <w:r>
        <w:rPr>
          <w:rFonts w:hint="eastAsia" w:ascii="仿宋_GB2312" w:eastAsia="仿宋_GB2312" w:cs="仿宋_GB2312"/>
          <w:color w:val="000000"/>
          <w:sz w:val="32"/>
          <w:szCs w:val="32"/>
        </w:rPr>
        <w:t>号</w:t>
      </w:r>
    </w:p>
    <w:bookmarkEnd w:id="3"/>
    <w:p>
      <w:pPr>
        <w:spacing w:line="560" w:lineRule="exact"/>
        <w:jc w:val="center"/>
        <w:rPr>
          <w:rFonts w:ascii="仿宋_GB2312" w:eastAsia="仿宋_GB2312"/>
          <w:color w:val="000000"/>
          <w:sz w:val="32"/>
          <w:szCs w:val="32"/>
        </w:rPr>
      </w:pPr>
    </w:p>
    <w:p>
      <w:pPr>
        <w:spacing w:line="280" w:lineRule="exact"/>
        <w:jc w:val="center"/>
        <w:rPr>
          <w:rFonts w:ascii="宋体" w:hAnsi="宋体"/>
          <w:b/>
          <w:color w:val="000000"/>
          <w:sz w:val="36"/>
          <w:szCs w:val="36"/>
        </w:rPr>
      </w:pPr>
    </w:p>
    <w:p>
      <w:pPr>
        <w:spacing w:line="280" w:lineRule="exact"/>
        <w:jc w:val="center"/>
        <w:rPr>
          <w:rFonts w:ascii="宋体" w:hAnsi="宋体"/>
          <w:b/>
          <w:color w:val="000000"/>
          <w:sz w:val="36"/>
          <w:szCs w:val="36"/>
        </w:rPr>
      </w:pPr>
    </w:p>
    <w:p>
      <w:pPr>
        <w:spacing w:line="560" w:lineRule="exact"/>
        <w:jc w:val="center"/>
        <w:rPr>
          <w:rFonts w:ascii="宋体" w:hAnsi="宋体"/>
          <w:b/>
          <w:color w:val="000000"/>
          <w:sz w:val="36"/>
          <w:szCs w:val="36"/>
        </w:rPr>
      </w:pPr>
      <w:r>
        <w:rPr>
          <w:rFonts w:hint="eastAsia" w:ascii="宋体" w:hAnsi="宋体"/>
          <w:b/>
          <w:color w:val="000000"/>
          <w:sz w:val="36"/>
          <w:szCs w:val="36"/>
        </w:rPr>
        <w:t>关于印发《浙江经济职业技术学院基本科研业务费实施细则》的通知</w:t>
      </w:r>
    </w:p>
    <w:p>
      <w:pPr>
        <w:spacing w:line="560" w:lineRule="exact"/>
        <w:rPr>
          <w:sz w:val="24"/>
        </w:rPr>
      </w:pPr>
    </w:p>
    <w:p>
      <w:pPr>
        <w:rPr>
          <w:rFonts w:ascii="仿宋_GB2312" w:eastAsia="仿宋_GB2312"/>
          <w:sz w:val="32"/>
          <w:szCs w:val="32"/>
        </w:rPr>
      </w:pPr>
      <w:r>
        <w:rPr>
          <w:rFonts w:hint="eastAsia" w:ascii="仿宋_GB2312" w:eastAsia="仿宋_GB2312"/>
          <w:sz w:val="32"/>
          <w:szCs w:val="32"/>
        </w:rPr>
        <w:t>院属各部门：</w:t>
      </w:r>
    </w:p>
    <w:p>
      <w:pPr>
        <w:ind w:firstLine="570"/>
        <w:rPr>
          <w:rFonts w:ascii="仿宋_GB2312" w:eastAsia="仿宋_GB2312"/>
          <w:sz w:val="32"/>
          <w:szCs w:val="32"/>
        </w:rPr>
      </w:pPr>
      <w:r>
        <w:rPr>
          <w:rFonts w:hint="eastAsia" w:ascii="仿宋_GB2312" w:eastAsia="仿宋_GB2312"/>
          <w:sz w:val="32"/>
          <w:szCs w:val="32"/>
        </w:rPr>
        <w:t>现将《浙江经济职业技术学院基本科研业务费实施细则》印发给你们。请结合实际，认真研究，贯彻落实。</w:t>
      </w:r>
    </w:p>
    <w:p>
      <w:pPr>
        <w:ind w:firstLine="570"/>
        <w:rPr>
          <w:rFonts w:ascii="仿宋_GB2312" w:eastAsia="仿宋_GB2312"/>
          <w:sz w:val="32"/>
          <w:szCs w:val="32"/>
        </w:rPr>
      </w:pPr>
      <w:r>
        <w:rPr>
          <w:rFonts w:hint="eastAsia" w:ascii="仿宋_GB2312" w:eastAsia="仿宋_GB2312"/>
          <w:sz w:val="32"/>
          <w:szCs w:val="32"/>
        </w:rPr>
        <w:t xml:space="preserve"> </w:t>
      </w:r>
    </w:p>
    <w:p>
      <w:pPr>
        <w:ind w:firstLine="570"/>
        <w:rPr>
          <w:rFonts w:ascii="仿宋_GB2312" w:eastAsia="仿宋_GB2312"/>
          <w:sz w:val="32"/>
          <w:szCs w:val="32"/>
        </w:rPr>
      </w:pPr>
    </w:p>
    <w:p>
      <w:pPr>
        <w:ind w:firstLine="4800" w:firstLineChars="1500"/>
        <w:rPr>
          <w:rFonts w:ascii="仿宋_GB2312" w:eastAsia="仿宋_GB2312"/>
          <w:sz w:val="32"/>
          <w:szCs w:val="32"/>
        </w:rPr>
      </w:pPr>
      <w:r>
        <w:rPr>
          <w:rFonts w:hint="eastAsia" w:ascii="仿宋_GB2312" w:eastAsia="仿宋_GB2312"/>
          <w:sz w:val="32"/>
          <w:szCs w:val="32"/>
        </w:rPr>
        <w:t>浙江经济职业技术学院</w:t>
      </w:r>
    </w:p>
    <w:p>
      <w:pPr>
        <w:ind w:firstLine="570"/>
        <w:rPr>
          <w:rFonts w:ascii="宋体" w:hAnsi="宋体" w:cs="宋体"/>
          <w:b/>
          <w:sz w:val="36"/>
          <w:szCs w:val="36"/>
        </w:rPr>
      </w:pPr>
      <w:r>
        <w:rPr>
          <w:rFonts w:hint="eastAsia" w:ascii="仿宋_GB2312" w:eastAsia="仿宋_GB2312"/>
          <w:sz w:val="32"/>
          <w:szCs w:val="32"/>
        </w:rPr>
        <w:t xml:space="preserve">                              201</w:t>
      </w:r>
      <w:r>
        <w:rPr>
          <w:rFonts w:ascii="仿宋_GB2312" w:eastAsia="仿宋_GB2312"/>
          <w:sz w:val="32"/>
          <w:szCs w:val="32"/>
        </w:rPr>
        <w:t>9</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lang w:val="en-US" w:eastAsia="zh-CN"/>
        </w:rPr>
        <w:t>9</w:t>
      </w:r>
      <w:r>
        <w:rPr>
          <w:rFonts w:hint="eastAsia" w:ascii="仿宋_GB2312" w:eastAsia="仿宋_GB2312"/>
          <w:sz w:val="32"/>
          <w:szCs w:val="32"/>
        </w:rPr>
        <w:t>日</w:t>
      </w:r>
    </w:p>
    <w:p>
      <w:pPr>
        <w:autoSpaceDE w:val="0"/>
        <w:autoSpaceDN w:val="0"/>
        <w:adjustRightInd w:val="0"/>
        <w:spacing w:line="360" w:lineRule="auto"/>
        <w:jc w:val="center"/>
        <w:rPr>
          <w:rFonts w:ascii="宋体" w:hAnsi="宋体" w:cs="宋体"/>
          <w:b/>
          <w:sz w:val="36"/>
          <w:szCs w:val="36"/>
        </w:rPr>
      </w:pPr>
    </w:p>
    <w:p>
      <w:pPr>
        <w:autoSpaceDE w:val="0"/>
        <w:autoSpaceDN w:val="0"/>
        <w:adjustRightInd w:val="0"/>
        <w:spacing w:line="360" w:lineRule="auto"/>
        <w:jc w:val="center"/>
        <w:rPr>
          <w:rFonts w:ascii="宋体" w:hAnsi="宋体" w:cs="宋体"/>
          <w:b/>
          <w:sz w:val="36"/>
          <w:szCs w:val="36"/>
        </w:rPr>
      </w:pPr>
    </w:p>
    <w:p>
      <w:pPr>
        <w:jc w:val="center"/>
        <w:rPr>
          <w:b/>
          <w:sz w:val="36"/>
          <w:szCs w:val="36"/>
        </w:rPr>
      </w:pPr>
      <w:bookmarkStart w:id="0" w:name="_Hlk23498408"/>
      <w:r>
        <w:rPr>
          <w:rFonts w:hint="eastAsia"/>
          <w:b/>
          <w:sz w:val="36"/>
          <w:szCs w:val="36"/>
        </w:rPr>
        <w:t>浙江经济职业技术学院基本科研业务费实施细则</w:t>
      </w:r>
      <w:bookmarkEnd w:id="0"/>
    </w:p>
    <w:p>
      <w:pPr>
        <w:autoSpaceDE w:val="0"/>
        <w:autoSpaceDN w:val="0"/>
        <w:adjustRightInd w:val="0"/>
        <w:snapToGrid w:val="0"/>
        <w:spacing w:line="400" w:lineRule="exact"/>
        <w:ind w:firstLine="560" w:firstLineChars="200"/>
        <w:jc w:val="left"/>
        <w:rPr>
          <w:sz w:val="28"/>
          <w:szCs w:val="28"/>
        </w:rPr>
      </w:pP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第一条 为贯彻落实《浙江省省属高校、科研院所基本科研业务费管理办法》（浙财科教〔2019〕4号），加强学校基本科研业务费管理，提高资金使用绩效，结合学校实际，特制定本办法。</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第二条 基本科研业务费主要用于支持学校开展自主选题科学研究工作，重点支持40周岁以下青年教师、科技人员提升基本科研能力，在科研领域的自由探索、自主创新活动。</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第二条 基本科研业务费使用原则</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(一)结合工作原则。除基础性、宽口径的科研项目外，其他类别项目要和学校发展相结合，服务和服从于学校的教学、科研发展。</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(二)最多申报一项原则。同一负责人在同一时期，原则上只能牵头负责一个基本科研业务费支持的项目，其研究方向应相对稳定。</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(三)绩效导向原则。所有项目必须要有成果产出，但成果形式可以多样。</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(四)支持40周岁以下青年教师和研究人员。集体项目需遵循二级学院、研究所的导向进行，个人项目可按个人研究意愿实施。</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(五)经费调剂原则。经费分配额度下达后，各研究团队可根据实际工作来安排经费。如存在经费不足或剩余，可适当调剂额度。</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(六)与科研服务“画像”相结合原则。将承担任务的二级学院、研究所和个人完成情况建立档案，作为科研和社会服务画像。</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第三条 基本科研业务费资助类别</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(一)资助学校技术技能积累系统化创新建设项目。</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(二)资助研究所建设项目。</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(三)资助优秀科研团队建设项目，支持跨专业、跨部门团队合作和集智创新。</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(四)资助校级青年专项项目，设置青年专项重点项目和一般项目。</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(五)资助学校其他项目，根据科研规划要求和学校建设需要设立的其他项目。</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第四条 基本科研业务费支出管理</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(一)基本科研业务费使用范围和开支标准，按照《中共浙江省委办公厅 浙江省人民政府办公厅关于进一步完善省财政科研项目资金管理等政策的实施意见》等有关规定执行。</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 xml:space="preserve">(二)基本科研业务费不得开支有工资性收入的人员工资、奖金、津补贴和福利支出;不得购置40万元以上的大型仪器设备;不得分摊学校公共管理和运行费用等。不得作为其他项目的配套资金;不得用于偿还贷款、支付罚款、捐赠、赞助、投资等支出; 也不得用于国家和浙江省规定不得列支的其他支出。 </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(三)使用基本科研业务费形成的资产属于国有资产，将按照国有资产管理的有关规定管理；形成的科技成果和科学数据等由学校按规定统筹管理。</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(四)项目负责人是基本科研业务费使用管理的直接责任人，对资金使用和项目实施的规范性、合理性和有效性负责。</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第五条 基本科研业务费绩效监督</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(一)学校对科研进展、科研产出、人才团队建设、资金使用等情况进行监测，每年度结束后开展绩效评价，评价结果报省教育厅。</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(二)学校建立预算安排与预算执行和绩效挂钩的奖惩机制，强化激励约束。</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(三)如发现个人有截留、挤占、挪用资金的行为，按照《中华人民共和国预算法》《财政违法行为处罚处分条例》等国家有关规定追究相应责任；涉嫌犯罪的，移送司法机关处理。</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第六条 附则</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(一)本实施细则由科研处、计财处共同负责解释。</w:t>
      </w:r>
    </w:p>
    <w:p>
      <w:pPr>
        <w:keepNext w:val="0"/>
        <w:keepLines w:val="0"/>
        <w:pageBreakBefore w:val="0"/>
        <w:widowControl w:val="0"/>
        <w:kinsoku/>
        <w:wordWrap/>
        <w:overflowPunct/>
        <w:topLinePunct w:val="0"/>
        <w:autoSpaceDE/>
        <w:autoSpaceDN/>
        <w:bidi w:val="0"/>
        <w:adjustRightInd/>
        <w:snapToGrid/>
        <w:ind w:firstLine="573"/>
        <w:textAlignment w:val="auto"/>
        <w:rPr>
          <w:rFonts w:hint="eastAsia" w:ascii="仿宋_GB2312" w:eastAsia="仿宋_GB2312"/>
          <w:sz w:val="28"/>
          <w:szCs w:val="28"/>
        </w:rPr>
      </w:pPr>
      <w:r>
        <w:rPr>
          <w:rFonts w:hint="eastAsia" w:ascii="仿宋_GB2312" w:eastAsia="仿宋_GB2312"/>
          <w:sz w:val="28"/>
          <w:szCs w:val="28"/>
        </w:rPr>
        <w:t>(二)本办法自公布之日起施行。</w:t>
      </w:r>
    </w:p>
    <w:p>
      <w:pPr>
        <w:spacing w:line="560" w:lineRule="exact"/>
        <w:rPr>
          <w:rFonts w:ascii="宋体" w:hAnsi="宋体" w:eastAsia="宋体" w:cs="宋体"/>
          <w:b/>
          <w:color w:val="000000"/>
          <w:sz w:val="36"/>
          <w:szCs w:val="36"/>
          <w:lang w:bidi="ar"/>
        </w:rPr>
      </w:pPr>
    </w:p>
    <w:p>
      <w:pPr>
        <w:spacing w:line="560" w:lineRule="exact"/>
        <w:rPr>
          <w:rFonts w:hint="eastAsia"/>
          <w:sz w:val="32"/>
        </w:rPr>
      </w:pPr>
    </w:p>
    <w:p>
      <w:pPr>
        <w:spacing w:line="560" w:lineRule="exact"/>
        <w:rPr>
          <w:rFonts w:hint="eastAsia"/>
          <w:sz w:val="32"/>
        </w:rPr>
      </w:pPr>
    </w:p>
    <w:p>
      <w:pPr>
        <w:spacing w:line="560" w:lineRule="exact"/>
        <w:rPr>
          <w:rFonts w:hint="eastAsia"/>
          <w:sz w:val="32"/>
        </w:rPr>
      </w:pPr>
    </w:p>
    <w:p>
      <w:pPr>
        <w:spacing w:line="560" w:lineRule="exact"/>
        <w:rPr>
          <w:rFonts w:hint="eastAsia"/>
          <w:sz w:val="32"/>
        </w:rPr>
      </w:pPr>
    </w:p>
    <w:p>
      <w:pPr>
        <w:spacing w:line="560" w:lineRule="exact"/>
        <w:ind w:firstLine="280" w:firstLineChars="100"/>
        <w:rPr>
          <w:rFonts w:hint="eastAsia" w:ascii="仿宋" w:hAnsi="仿宋" w:eastAsia="仿宋"/>
          <w:sz w:val="28"/>
          <w:szCs w:val="28"/>
        </w:rPr>
      </w:pPr>
      <w:bookmarkStart w:id="1" w:name="抄送单位"/>
      <w:bookmarkEnd w:id="1"/>
      <w:r>
        <w:rPr>
          <w:rFonts w:hint="eastAsia" w:ascii="仿宋" w:hAnsi="仿宋" w:eastAsia="仿宋"/>
          <w:sz w:val="28"/>
          <w:szCs w:val="28"/>
        </w:rPr>
        <w:t xml:space="preserve">                                      </w:t>
      </w:r>
    </w:p>
    <w:p>
      <w:pPr>
        <w:spacing w:line="560" w:lineRule="exact"/>
        <w:ind w:left="210" w:leftChars="100" w:right="210" w:rightChars="100"/>
        <w:rPr>
          <w:rFonts w:hint="eastAsia"/>
          <w:sz w:val="24"/>
          <w:szCs w:val="24"/>
        </w:rPr>
      </w:pPr>
      <w:r>
        <w:rPr>
          <w:rFonts w:ascii="仿宋" w:hAnsi="仿宋" w:eastAsia="仿宋"/>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50800</wp:posOffset>
                </wp:positionV>
                <wp:extent cx="561911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91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pt;height:0pt;width:442.45pt;z-index:251658240;mso-width-relative:page;mso-height-relative:page;" filled="f" stroked="t" coordsize="21600,21600" o:gfxdata="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WotVtMAAAAEAQAADwAAAAAAAAABACAA&#10;AAAiAAAAZHJzL2Rvd25yZXYueG1sUEsBAhQAFAAAAAgAh07iQOgZmHPZAQAAlgMAAA4AAAAAAAAA&#10;AQAgAAAAIgEAAGRycy9lMm9Eb2MueG1sUEsFBgAAAAAGAAYAWQEAAG0FAAAAAA==&#10;">
                <v:fill on="f" focussize="0,0"/>
                <v:stroke color="#000000" joinstyle="round"/>
                <v:imagedata o:title=""/>
                <o:lock v:ext="edit" aspectratio="f"/>
              </v:line>
            </w:pict>
          </mc:Fallback>
        </mc:AlternateContent>
      </w:r>
      <w:r>
        <w:rPr>
          <w:rFonts w:hint="eastAsia" w:ascii="仿宋" w:hAnsi="仿宋" w:eastAsia="仿宋"/>
          <w:sz w:val="28"/>
          <w:szCs w:val="28"/>
        </w:rPr>
        <w:t>浙江经济职业技术学院办公室</w:t>
      </w:r>
      <w:r>
        <w:rPr>
          <w:rFonts w:hint="eastAsia" w:ascii="仿宋_GB2312" w:eastAsia="仿宋_GB2312"/>
          <w:sz w:val="28"/>
          <w:szCs w:val="28"/>
        </w:rPr>
        <w:t xml:space="preserve">   </w:t>
      </w:r>
      <w:bookmarkStart w:id="2" w:name="日期"/>
      <w:r>
        <w:rPr>
          <w:rFonts w:hint="eastAsia" w:ascii="仿宋_GB2312" w:eastAsia="仿宋_GB2312"/>
          <w:sz w:val="28"/>
          <w:szCs w:val="28"/>
        </w:rPr>
        <w:t xml:space="preserve">          201</w:t>
      </w:r>
      <w:r>
        <w:rPr>
          <w:rFonts w:hint="eastAsia" w:ascii="仿宋_GB2312" w:eastAsia="仿宋_GB2312"/>
          <w:sz w:val="28"/>
          <w:szCs w:val="28"/>
          <w:lang w:val="en-US" w:eastAsia="zh-CN"/>
        </w:rPr>
        <w:t>9</w:t>
      </w:r>
      <w:r>
        <w:rPr>
          <w:rFonts w:hint="eastAsia" w:ascii="仿宋_GB2312" w:eastAsia="仿宋_GB2312"/>
          <w:sz w:val="28"/>
          <w:szCs w:val="28"/>
        </w:rPr>
        <w:t>年1</w:t>
      </w:r>
      <w:r>
        <w:rPr>
          <w:rFonts w:hint="eastAsia" w:ascii="仿宋_GB2312" w:eastAsia="仿宋_GB2312"/>
          <w:sz w:val="28"/>
          <w:szCs w:val="28"/>
          <w:lang w:val="en-US" w:eastAsia="zh-CN"/>
        </w:rPr>
        <w:t>0</w:t>
      </w:r>
      <w:r>
        <w:rPr>
          <w:rFonts w:hint="eastAsia" w:ascii="仿宋_GB2312" w:eastAsia="仿宋_GB2312"/>
          <w:sz w:val="28"/>
          <w:szCs w:val="28"/>
        </w:rPr>
        <w:t>月</w:t>
      </w:r>
      <w:r>
        <w:rPr>
          <w:rFonts w:hint="eastAsia" w:ascii="仿宋_GB2312" w:eastAsia="仿宋_GB2312"/>
          <w:sz w:val="28"/>
          <w:szCs w:val="28"/>
          <w:lang w:val="en-US" w:eastAsia="zh-CN"/>
        </w:rPr>
        <w:t>30</w:t>
      </w:r>
      <w:r>
        <w:rPr>
          <w:rFonts w:hint="eastAsia" w:ascii="仿宋_GB2312" w:eastAsia="仿宋_GB2312"/>
          <w:sz w:val="28"/>
          <w:szCs w:val="28"/>
        </w:rPr>
        <w:t>日</w:t>
      </w:r>
      <w:bookmarkEnd w:id="2"/>
      <w:r>
        <w:rPr>
          <w:rFonts w:hint="eastAsia" w:ascii="仿宋" w:hAnsi="仿宋" w:eastAsia="仿宋"/>
          <w:sz w:val="28"/>
          <w:szCs w:val="28"/>
        </w:rPr>
        <w:t>印发</w:t>
      </w:r>
    </w:p>
    <w:p>
      <w:r>
        <w:rPr>
          <w:rFonts w:ascii="仿宋" w:hAnsi="仿宋" w:eastAsia="仿宋"/>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76835</wp:posOffset>
                </wp:positionV>
                <wp:extent cx="561911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91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05pt;height:0pt;width:442.45pt;z-index:251659264;mso-width-relative:page;mso-height-relative:page;" filled="f" stroked="t" coordsize="21600,21600" o:gfxdata="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wz1LTAAAABgEAAA8AAAAAAAAAAQAg&#10;AAAAIgAAAGRycy9kb3ducmV2LnhtbFBLAQIUABQAAAAIAIdO4kDbpDTE2gEAAJYDAAAOAAAAAAAA&#10;AAEAIAAAACIBAABkcnMvZTJvRG9jLnhtbFBLBQYAAAAABgAGAFkBAABuBQAAAAA=&#10;">
                <v:fill on="f" focussize="0,0"/>
                <v:stroke color="#000000" joinstyle="round"/>
                <v:imagedata o:title=""/>
                <o:lock v:ext="edit" aspectratio="f"/>
              </v:line>
            </w:pict>
          </mc:Fallback>
        </mc:AlternateContent>
      </w:r>
    </w:p>
    <w:sectPr>
      <w:pgSz w:w="11906" w:h="16838"/>
      <w:pgMar w:top="181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B31DA"/>
    <w:rsid w:val="160B31DA"/>
    <w:rsid w:val="26D25535"/>
    <w:rsid w:val="309956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2019-11-18T01:59:00Z</dcterms:created>
  <dc:creator>Dell</dc:creator>
  <cp:lastModifiedBy>Dell</cp:lastModifiedBy>
  <cp:lastPrinted>2019-11-18T02:18:00Z</cp:lastPrinted>
  <dcterms:modified xsi:type="dcterms:W3CDTF">2019-11-18T06:06:14Z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