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浙经院〔201</w:t>
      </w:r>
      <w:r>
        <w:rPr>
          <w:rFonts w:ascii="仿宋_GB2312" w:eastAsia="仿宋_GB2312" w:cs="仿宋_GB2312"/>
          <w:color w:val="000000"/>
          <w:sz w:val="32"/>
          <w:szCs w:val="32"/>
        </w:rPr>
        <w:t>9</w:t>
      </w:r>
      <w:r>
        <w:rPr>
          <w:rFonts w:hint="eastAsia" w:ascii="仿宋_GB2312" w:eastAsia="仿宋_GB2312" w:cs="仿宋_GB2312"/>
          <w:color w:val="000000"/>
          <w:sz w:val="32"/>
          <w:szCs w:val="32"/>
        </w:rPr>
        <w:t>〕1</w:t>
      </w:r>
      <w:r>
        <w:rPr>
          <w:rFonts w:ascii="仿宋_GB2312" w:eastAsia="仿宋_GB2312" w:cs="仿宋_GB2312"/>
          <w:color w:val="000000"/>
          <w:sz w:val="32"/>
          <w:szCs w:val="32"/>
        </w:rPr>
        <w:t>52</w:t>
      </w:r>
      <w:r>
        <w:rPr>
          <w:rFonts w:hint="eastAsia" w:ascii="仿宋_GB2312" w:eastAsia="仿宋_GB2312" w:cs="仿宋_GB2312"/>
          <w:color w:val="000000"/>
          <w:sz w:val="32"/>
          <w:szCs w:val="32"/>
        </w:rPr>
        <w:t>号</w:t>
      </w:r>
    </w:p>
    <w:p>
      <w:pPr>
        <w:spacing w:line="560" w:lineRule="exact"/>
        <w:jc w:val="center"/>
        <w:rPr>
          <w:rFonts w:ascii="仿宋_GB2312" w:eastAsia="仿宋_GB2312"/>
          <w:color w:val="000000"/>
          <w:sz w:val="32"/>
          <w:szCs w:val="32"/>
        </w:rPr>
      </w:pPr>
    </w:p>
    <w:p>
      <w:pPr>
        <w:spacing w:line="280" w:lineRule="exact"/>
        <w:jc w:val="center"/>
        <w:rPr>
          <w:rFonts w:ascii="宋体" w:hAnsi="宋体"/>
          <w:b/>
          <w:color w:val="000000"/>
          <w:sz w:val="36"/>
          <w:szCs w:val="36"/>
        </w:rPr>
      </w:pPr>
    </w:p>
    <w:p>
      <w:pPr>
        <w:spacing w:line="280" w:lineRule="exact"/>
        <w:jc w:val="center"/>
        <w:rPr>
          <w:rFonts w:ascii="宋体" w:hAnsi="宋体"/>
          <w:b/>
          <w:color w:val="000000"/>
          <w:sz w:val="36"/>
          <w:szCs w:val="36"/>
        </w:rPr>
      </w:pPr>
    </w:p>
    <w:p>
      <w:pPr>
        <w:spacing w:line="560" w:lineRule="exact"/>
        <w:jc w:val="center"/>
        <w:rPr>
          <w:rFonts w:hint="eastAsia" w:ascii="宋体" w:hAnsi="宋体"/>
          <w:b/>
          <w:bCs/>
          <w:sz w:val="36"/>
          <w:szCs w:val="36"/>
        </w:rPr>
      </w:pPr>
      <w:bookmarkStart w:id="2" w:name="_GoBack"/>
      <w:r>
        <w:rPr>
          <w:rFonts w:hint="eastAsia" w:ascii="宋体" w:hAnsi="宋体"/>
          <w:b/>
          <w:color w:val="000000"/>
          <w:sz w:val="36"/>
          <w:szCs w:val="36"/>
        </w:rPr>
        <w:t>关于印发《</w:t>
      </w:r>
      <w:r>
        <w:rPr>
          <w:rFonts w:hint="eastAsia" w:ascii="ˎ̥" w:hAnsi="ˎ̥"/>
          <w:b/>
          <w:bCs/>
          <w:sz w:val="36"/>
          <w:szCs w:val="36"/>
        </w:rPr>
        <w:t>浙江经济</w:t>
      </w:r>
      <w:r>
        <w:rPr>
          <w:rFonts w:ascii="ˎ̥" w:hAnsi="ˎ̥"/>
          <w:b/>
          <w:bCs/>
          <w:sz w:val="36"/>
          <w:szCs w:val="36"/>
        </w:rPr>
        <w:t>职业技术学院</w:t>
      </w:r>
      <w:r>
        <w:rPr>
          <w:rStyle w:val="4"/>
          <w:rFonts w:ascii="Arial" w:hAnsi="Arial" w:cs="Arial"/>
          <w:b/>
          <w:sz w:val="36"/>
          <w:szCs w:val="36"/>
          <w:lang w:eastAsia="zh-Hans"/>
        </w:rPr>
        <w:t>横向科研项目</w:t>
      </w:r>
      <w:r>
        <w:rPr>
          <w:rFonts w:hint="eastAsia" w:ascii="宋体" w:hAnsi="宋体"/>
          <w:b/>
          <w:bCs/>
          <w:sz w:val="36"/>
          <w:szCs w:val="36"/>
        </w:rPr>
        <w:t>管理</w:t>
      </w:r>
    </w:p>
    <w:p>
      <w:pPr>
        <w:spacing w:line="560" w:lineRule="exact"/>
        <w:jc w:val="center"/>
        <w:rPr>
          <w:rFonts w:ascii="宋体" w:hAnsi="宋体"/>
          <w:b/>
          <w:color w:val="000000"/>
          <w:sz w:val="36"/>
          <w:szCs w:val="36"/>
        </w:rPr>
      </w:pPr>
      <w:r>
        <w:rPr>
          <w:rFonts w:hint="eastAsia" w:ascii="宋体" w:hAnsi="宋体"/>
          <w:b/>
          <w:bCs/>
          <w:sz w:val="36"/>
          <w:szCs w:val="36"/>
        </w:rPr>
        <w:t>实施细则</w:t>
      </w:r>
      <w:r>
        <w:rPr>
          <w:rFonts w:hint="eastAsia" w:ascii="宋体" w:hAnsi="宋体"/>
          <w:b/>
          <w:color w:val="000000"/>
          <w:sz w:val="36"/>
          <w:szCs w:val="36"/>
        </w:rPr>
        <w:t>》的通知</w:t>
      </w:r>
    </w:p>
    <w:bookmarkEnd w:id="2"/>
    <w:p>
      <w:pPr>
        <w:spacing w:line="560" w:lineRule="exact"/>
        <w:rPr>
          <w:sz w:val="24"/>
        </w:rPr>
      </w:pPr>
    </w:p>
    <w:p>
      <w:pPr>
        <w:spacing w:line="560" w:lineRule="exact"/>
        <w:rPr>
          <w:sz w:val="24"/>
        </w:rPr>
      </w:pPr>
    </w:p>
    <w:p>
      <w:pPr>
        <w:rPr>
          <w:rFonts w:ascii="仿宋_GB2312" w:eastAsia="仿宋_GB2312"/>
          <w:sz w:val="32"/>
          <w:szCs w:val="32"/>
        </w:rPr>
      </w:pPr>
      <w:r>
        <w:rPr>
          <w:rFonts w:hint="eastAsia" w:ascii="仿宋_GB2312" w:eastAsia="仿宋_GB2312"/>
          <w:sz w:val="32"/>
          <w:szCs w:val="32"/>
        </w:rPr>
        <w:t>院属各部门：</w:t>
      </w:r>
    </w:p>
    <w:p>
      <w:pPr>
        <w:ind w:firstLine="570"/>
        <w:rPr>
          <w:rFonts w:ascii="仿宋_GB2312" w:eastAsia="仿宋_GB2312"/>
          <w:sz w:val="32"/>
          <w:szCs w:val="32"/>
        </w:rPr>
      </w:pPr>
      <w:r>
        <w:rPr>
          <w:rFonts w:hint="eastAsia" w:ascii="仿宋_GB2312" w:eastAsia="仿宋_GB2312"/>
          <w:sz w:val="32"/>
          <w:szCs w:val="32"/>
        </w:rPr>
        <w:t>现将《浙江经济职业技术学院横向科研项目管理实施细则》印发给你们。请结合实际，认真研究，贯彻落实。</w:t>
      </w:r>
    </w:p>
    <w:p>
      <w:pPr>
        <w:ind w:firstLine="570"/>
        <w:rPr>
          <w:rFonts w:ascii="仿宋_GB2312" w:eastAsia="仿宋_GB2312"/>
          <w:sz w:val="32"/>
          <w:szCs w:val="32"/>
        </w:rPr>
      </w:pPr>
      <w:r>
        <w:rPr>
          <w:rFonts w:hint="eastAsia" w:ascii="仿宋_GB2312" w:eastAsia="仿宋_GB2312"/>
          <w:sz w:val="32"/>
          <w:szCs w:val="32"/>
        </w:rPr>
        <w:t xml:space="preserve"> </w:t>
      </w:r>
    </w:p>
    <w:p>
      <w:pPr>
        <w:ind w:firstLine="570"/>
        <w:rPr>
          <w:rFonts w:ascii="仿宋_GB2312" w:eastAsia="仿宋_GB2312"/>
          <w:sz w:val="32"/>
          <w:szCs w:val="32"/>
        </w:rPr>
      </w:pPr>
    </w:p>
    <w:p>
      <w:pPr>
        <w:ind w:firstLine="4800" w:firstLineChars="1500"/>
        <w:rPr>
          <w:rFonts w:ascii="仿宋_GB2312" w:eastAsia="仿宋_GB2312"/>
          <w:sz w:val="32"/>
          <w:szCs w:val="32"/>
        </w:rPr>
      </w:pPr>
      <w:r>
        <w:rPr>
          <w:rFonts w:hint="eastAsia" w:ascii="仿宋_GB2312" w:eastAsia="仿宋_GB2312"/>
          <w:sz w:val="32"/>
          <w:szCs w:val="32"/>
        </w:rPr>
        <w:t>浙江经济职业技术学院</w:t>
      </w:r>
    </w:p>
    <w:p>
      <w:pPr>
        <w:ind w:firstLine="570"/>
        <w:rPr>
          <w:rFonts w:ascii="仿宋_GB2312" w:eastAsia="仿宋_GB2312"/>
          <w:sz w:val="32"/>
          <w:szCs w:val="32"/>
        </w:rPr>
      </w:pPr>
      <w:r>
        <w:rPr>
          <w:rFonts w:hint="eastAsia" w:ascii="仿宋_GB2312" w:eastAsia="仿宋_GB2312"/>
          <w:sz w:val="32"/>
          <w:szCs w:val="32"/>
        </w:rPr>
        <w:t xml:space="preserve">                              201</w:t>
      </w:r>
      <w:r>
        <w:rPr>
          <w:rFonts w:ascii="仿宋_GB2312" w:eastAsia="仿宋_GB2312"/>
          <w:sz w:val="32"/>
          <w:szCs w:val="32"/>
        </w:rPr>
        <w:t>9</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日</w:t>
      </w:r>
    </w:p>
    <w:p>
      <w:pPr>
        <w:jc w:val="both"/>
        <w:rPr>
          <w:rFonts w:ascii="ˎ̥" w:hAnsi="ˎ̥"/>
          <w:b/>
          <w:bCs/>
          <w:sz w:val="36"/>
          <w:szCs w:val="36"/>
        </w:rPr>
      </w:pPr>
    </w:p>
    <w:p>
      <w:pPr>
        <w:jc w:val="center"/>
        <w:rPr>
          <w:rFonts w:ascii="宋体" w:hAnsi="宋体"/>
          <w:b/>
          <w:bCs/>
          <w:sz w:val="36"/>
          <w:szCs w:val="36"/>
        </w:rPr>
      </w:pPr>
      <w:bookmarkStart w:id="0" w:name="_Hlk23497815"/>
      <w:r>
        <w:rPr>
          <w:rFonts w:hint="eastAsia" w:ascii="ˎ̥" w:hAnsi="ˎ̥"/>
          <w:b/>
          <w:bCs/>
          <w:sz w:val="36"/>
          <w:szCs w:val="36"/>
        </w:rPr>
        <w:t>浙江经济</w:t>
      </w:r>
      <w:r>
        <w:rPr>
          <w:rFonts w:ascii="ˎ̥" w:hAnsi="ˎ̥"/>
          <w:b/>
          <w:bCs/>
          <w:sz w:val="36"/>
          <w:szCs w:val="36"/>
        </w:rPr>
        <w:t>职业技术学院</w:t>
      </w:r>
      <w:r>
        <w:rPr>
          <w:rStyle w:val="4"/>
          <w:rFonts w:ascii="Arial" w:hAnsi="Arial" w:cs="Arial"/>
          <w:b/>
          <w:sz w:val="36"/>
          <w:szCs w:val="36"/>
          <w:lang w:eastAsia="zh-Hans"/>
        </w:rPr>
        <w:t>横向科研项目</w:t>
      </w:r>
      <w:r>
        <w:rPr>
          <w:rFonts w:hint="eastAsia" w:ascii="宋体" w:hAnsi="宋体"/>
          <w:b/>
          <w:bCs/>
          <w:sz w:val="36"/>
          <w:szCs w:val="36"/>
        </w:rPr>
        <w:t>管理实施细则</w:t>
      </w:r>
      <w:bookmarkEnd w:id="0"/>
    </w:p>
    <w:p>
      <w:r>
        <w:t>  </w:t>
      </w:r>
    </w:p>
    <w:p>
      <w:pPr>
        <w:spacing w:line="560" w:lineRule="exact"/>
        <w:ind w:firstLine="602" w:firstLineChars="200"/>
        <w:rPr>
          <w:rFonts w:ascii="仿宋" w:hAnsi="仿宋" w:eastAsia="仿宋"/>
          <w:sz w:val="30"/>
          <w:szCs w:val="30"/>
        </w:rPr>
      </w:pPr>
      <w:r>
        <w:rPr>
          <w:rFonts w:hint="eastAsia" w:ascii="仿宋" w:hAnsi="仿宋" w:eastAsia="仿宋"/>
          <w:b/>
          <w:sz w:val="30"/>
          <w:szCs w:val="30"/>
        </w:rPr>
        <w:t>第一条</w:t>
      </w:r>
      <w:r>
        <w:rPr>
          <w:rFonts w:hint="eastAsia" w:ascii="仿宋" w:hAnsi="仿宋" w:eastAsia="仿宋"/>
          <w:sz w:val="30"/>
          <w:szCs w:val="30"/>
        </w:rPr>
        <w:t xml:space="preserve"> 为了拓宽我校的课题来源渠道，更好地为地方经济建设服务，学校鼓励广大教职员工主动适应市场，力争承担更多、更高层次的横向研究课题。现根据国家有关科研管理文件精神，结合实际，特制定本办法，以规范横向科研项目的管理。</w:t>
      </w:r>
    </w:p>
    <w:p>
      <w:pPr>
        <w:widowControl/>
        <w:spacing w:line="560" w:lineRule="exact"/>
        <w:ind w:firstLine="602" w:firstLineChars="200"/>
        <w:jc w:val="left"/>
        <w:rPr>
          <w:rFonts w:ascii="仿宋" w:hAnsi="仿宋" w:eastAsia="仿宋" w:cs="Arial"/>
          <w:spacing w:val="8"/>
          <w:kern w:val="0"/>
          <w:sz w:val="30"/>
          <w:szCs w:val="30"/>
        </w:rPr>
      </w:pPr>
      <w:r>
        <w:rPr>
          <w:rFonts w:hint="eastAsia" w:ascii="仿宋" w:hAnsi="仿宋" w:eastAsia="仿宋"/>
          <w:b/>
          <w:sz w:val="30"/>
          <w:szCs w:val="30"/>
        </w:rPr>
        <w:t>第二条</w:t>
      </w:r>
      <w:r>
        <w:rPr>
          <w:rFonts w:hint="eastAsia" w:ascii="仿宋" w:hAnsi="仿宋" w:eastAsia="仿宋"/>
          <w:sz w:val="30"/>
          <w:szCs w:val="30"/>
        </w:rPr>
        <w:t xml:space="preserve"> 横向科研项目是指由本院</w:t>
      </w:r>
      <w:r>
        <w:rPr>
          <w:rFonts w:ascii="仿宋" w:hAnsi="仿宋" w:eastAsia="仿宋" w:cs="Arial"/>
          <w:spacing w:val="8"/>
          <w:kern w:val="0"/>
          <w:sz w:val="30"/>
          <w:szCs w:val="30"/>
        </w:rPr>
        <w:t>通过对外开展科研活动取得的除纵向科研项目经费之外的其他所有科研项目经费，包括合作研究、委托研究、技术开发、技术咨询、技术服务、技术转让等合同方式取得的经费以及承担各党派、社会团体、专业研究机构等非政府机构科研项目取得的经费。</w:t>
      </w:r>
    </w:p>
    <w:p>
      <w:pPr>
        <w:widowControl/>
        <w:spacing w:line="560" w:lineRule="exact"/>
        <w:ind w:firstLine="602" w:firstLineChars="200"/>
        <w:jc w:val="left"/>
        <w:rPr>
          <w:rFonts w:ascii="仿宋" w:hAnsi="仿宋" w:eastAsia="仿宋"/>
          <w:sz w:val="30"/>
          <w:szCs w:val="30"/>
        </w:rPr>
      </w:pPr>
      <w:r>
        <w:rPr>
          <w:rFonts w:hint="eastAsia" w:ascii="仿宋" w:hAnsi="仿宋" w:eastAsia="仿宋"/>
          <w:b/>
          <w:sz w:val="30"/>
          <w:szCs w:val="30"/>
        </w:rPr>
        <w:t>第三条</w:t>
      </w:r>
      <w:r>
        <w:rPr>
          <w:rFonts w:hint="eastAsia" w:ascii="仿宋" w:hAnsi="仿宋" w:eastAsia="仿宋"/>
          <w:sz w:val="30"/>
          <w:szCs w:val="30"/>
        </w:rPr>
        <w:t xml:space="preserve"> </w:t>
      </w:r>
      <w:r>
        <w:rPr>
          <w:rFonts w:hint="eastAsia" w:ascii="仿宋" w:hAnsi="仿宋" w:eastAsia="仿宋" w:cs="宋体"/>
          <w:sz w:val="30"/>
          <w:szCs w:val="30"/>
        </w:rPr>
        <w:t>横向科研项目</w:t>
      </w:r>
      <w:r>
        <w:rPr>
          <w:rFonts w:hint="eastAsia" w:ascii="仿宋" w:hAnsi="仿宋" w:eastAsia="仿宋"/>
          <w:sz w:val="30"/>
          <w:szCs w:val="30"/>
        </w:rPr>
        <w:t>应由课题主持人与委托方签订书面合同，合同文本（副本）应交科研处备案。课题完成后，课题组应向科研处提交最终成果的书面资料备案，成果涉及商业秘密的，学校及相关部门有义务保密，并提交委托单位同意结项的书面意见。否则，学校不予承认，亦不计科研工作量及奖励。原则上学校对于以个人名义接受的横向科研项目不纳入学校科研管理范畴。</w:t>
      </w:r>
    </w:p>
    <w:p>
      <w:pPr>
        <w:widowControl/>
        <w:spacing w:line="560" w:lineRule="exact"/>
        <w:ind w:firstLine="602" w:firstLineChars="200"/>
        <w:jc w:val="left"/>
        <w:rPr>
          <w:rFonts w:ascii="仿宋" w:hAnsi="仿宋" w:eastAsia="仿宋"/>
          <w:sz w:val="30"/>
          <w:szCs w:val="30"/>
        </w:rPr>
      </w:pPr>
      <w:r>
        <w:rPr>
          <w:rFonts w:hint="eastAsia" w:ascii="仿宋" w:hAnsi="仿宋" w:eastAsia="仿宋"/>
          <w:b/>
          <w:sz w:val="30"/>
          <w:szCs w:val="30"/>
        </w:rPr>
        <w:t>第四条</w:t>
      </w:r>
      <w:r>
        <w:rPr>
          <w:rFonts w:hint="eastAsia" w:ascii="仿宋" w:hAnsi="仿宋" w:eastAsia="仿宋"/>
          <w:sz w:val="30"/>
          <w:szCs w:val="30"/>
        </w:rPr>
        <w:t xml:space="preserve"> 签订横向科研项目合同须采用规范的合同书，合同条款的内容必须符合《中华人民共和国技术合同法》及相关法规。在合同中，必须明确此项目研究成果的知识产权归属及其权益分配，必须明确验收条件及违约责任。我校依据横向科研合同可享有相关成果的知识产权。</w:t>
      </w:r>
    </w:p>
    <w:p>
      <w:pPr>
        <w:widowControl/>
        <w:spacing w:line="560" w:lineRule="exact"/>
        <w:ind w:firstLine="602" w:firstLineChars="200"/>
        <w:jc w:val="left"/>
        <w:rPr>
          <w:rFonts w:ascii="仿宋" w:hAnsi="仿宋" w:eastAsia="仿宋"/>
          <w:sz w:val="30"/>
          <w:szCs w:val="30"/>
        </w:rPr>
      </w:pPr>
      <w:r>
        <w:rPr>
          <w:rFonts w:hint="eastAsia" w:ascii="仿宋" w:hAnsi="仿宋" w:eastAsia="仿宋"/>
          <w:b/>
          <w:sz w:val="30"/>
          <w:szCs w:val="30"/>
        </w:rPr>
        <w:t>第五条</w:t>
      </w:r>
      <w:r>
        <w:rPr>
          <w:rFonts w:hint="eastAsia" w:ascii="仿宋" w:hAnsi="仿宋" w:eastAsia="仿宋"/>
          <w:sz w:val="30"/>
          <w:szCs w:val="30"/>
        </w:rPr>
        <w:t xml:space="preserve"> 项目负责人应对项目组的技术水平、研究能力、完成时间、经费支出等进行分析测算，与委托方初步洽谈并提出合同初稿，由所在部门的负责人初步审核同意后，报科研处审核；签订正式合同书时，须由我校法定代表人或法定代表人委托的代理人签字，盖我校公章（合同额在5万元以上的由分管院长签字，10万元以上的主管院长签字）。</w:t>
      </w:r>
    </w:p>
    <w:p>
      <w:pPr>
        <w:widowControl/>
        <w:spacing w:line="560" w:lineRule="exact"/>
        <w:ind w:firstLine="602" w:firstLineChars="200"/>
        <w:jc w:val="left"/>
        <w:rPr>
          <w:rFonts w:ascii="仿宋" w:hAnsi="仿宋" w:eastAsia="仿宋" w:cs="宋体"/>
          <w:kern w:val="0"/>
          <w:sz w:val="30"/>
          <w:szCs w:val="30"/>
        </w:rPr>
      </w:pPr>
      <w:r>
        <w:rPr>
          <w:rFonts w:hint="eastAsia" w:ascii="仿宋" w:hAnsi="仿宋" w:eastAsia="仿宋" w:cs="宋体"/>
          <w:b/>
          <w:kern w:val="0"/>
          <w:sz w:val="30"/>
          <w:szCs w:val="30"/>
        </w:rPr>
        <w:t xml:space="preserve">第六条 </w:t>
      </w:r>
      <w:r>
        <w:rPr>
          <w:rFonts w:hint="eastAsia" w:ascii="仿宋" w:hAnsi="仿宋" w:eastAsia="仿宋" w:cs="宋体"/>
          <w:kern w:val="0"/>
          <w:sz w:val="30"/>
          <w:szCs w:val="30"/>
        </w:rPr>
        <w:t>横向科研项目完成后如需进行鉴定的，由项目负责人提前写出申请报告，由科研处组织协调有关鉴定事宜，但鉴定费由项目负责人和其服务单位协商解决。</w:t>
      </w:r>
    </w:p>
    <w:p>
      <w:pPr>
        <w:widowControl/>
        <w:spacing w:line="560" w:lineRule="exact"/>
        <w:ind w:firstLine="602" w:firstLineChars="200"/>
        <w:jc w:val="left"/>
        <w:rPr>
          <w:rFonts w:ascii="仿宋" w:hAnsi="仿宋" w:eastAsia="仿宋" w:cs="宋体"/>
          <w:kern w:val="0"/>
          <w:sz w:val="30"/>
          <w:szCs w:val="30"/>
        </w:rPr>
      </w:pPr>
      <w:r>
        <w:rPr>
          <w:rFonts w:hint="eastAsia" w:ascii="仿宋" w:hAnsi="仿宋" w:eastAsia="仿宋" w:cs="宋体"/>
          <w:b/>
          <w:kern w:val="0"/>
          <w:sz w:val="30"/>
          <w:szCs w:val="30"/>
        </w:rPr>
        <w:t>第七条</w:t>
      </w:r>
      <w:r>
        <w:rPr>
          <w:rFonts w:hint="eastAsia" w:ascii="仿宋" w:hAnsi="仿宋" w:eastAsia="仿宋" w:cs="宋体"/>
          <w:kern w:val="0"/>
          <w:sz w:val="30"/>
          <w:szCs w:val="30"/>
        </w:rPr>
        <w:t xml:space="preserve"> 横向科研项目合同一经签订，项目承担者必须按合同要求完成任务；如不能按期完成，必须征得委托方同意，并签订延期合同，方能延期。此类项目验收，以委托方开据给科研处的合同履约证明为准。</w:t>
      </w:r>
    </w:p>
    <w:p>
      <w:pPr>
        <w:widowControl/>
        <w:spacing w:line="560" w:lineRule="exact"/>
        <w:ind w:firstLine="602" w:firstLineChars="200"/>
        <w:jc w:val="left"/>
        <w:rPr>
          <w:rFonts w:ascii="仿宋" w:hAnsi="仿宋" w:eastAsia="仿宋" w:cs="宋体"/>
          <w:kern w:val="0"/>
          <w:sz w:val="30"/>
          <w:szCs w:val="30"/>
        </w:rPr>
      </w:pPr>
      <w:r>
        <w:rPr>
          <w:rFonts w:hint="eastAsia" w:ascii="仿宋" w:hAnsi="仿宋" w:eastAsia="仿宋" w:cs="宋体"/>
          <w:b/>
          <w:kern w:val="0"/>
          <w:sz w:val="30"/>
          <w:szCs w:val="30"/>
        </w:rPr>
        <w:t>第八条</w:t>
      </w:r>
      <w:r>
        <w:rPr>
          <w:rFonts w:hint="eastAsia" w:ascii="仿宋" w:hAnsi="仿宋" w:eastAsia="仿宋" w:cs="宋体"/>
          <w:kern w:val="0"/>
          <w:sz w:val="30"/>
          <w:szCs w:val="30"/>
        </w:rPr>
        <w:t xml:space="preserve"> 横向科研项目完成后，在不违背合同约定情况下，其成果可向有关部门申报成果奖励。</w:t>
      </w:r>
    </w:p>
    <w:p>
      <w:pPr>
        <w:widowControl/>
        <w:spacing w:line="560" w:lineRule="exact"/>
        <w:ind w:firstLine="602" w:firstLineChars="200"/>
        <w:jc w:val="left"/>
        <w:rPr>
          <w:rFonts w:ascii="仿宋" w:hAnsi="仿宋" w:eastAsia="仿宋" w:cs="宋体"/>
          <w:kern w:val="0"/>
          <w:sz w:val="30"/>
          <w:szCs w:val="30"/>
        </w:rPr>
      </w:pPr>
      <w:r>
        <w:rPr>
          <w:rFonts w:hint="eastAsia" w:ascii="仿宋" w:hAnsi="仿宋" w:eastAsia="仿宋" w:cs="宋体"/>
          <w:b/>
          <w:kern w:val="0"/>
          <w:sz w:val="30"/>
          <w:szCs w:val="30"/>
        </w:rPr>
        <w:t>第九条</w:t>
      </w:r>
      <w:r>
        <w:rPr>
          <w:rFonts w:hint="eastAsia" w:ascii="仿宋" w:hAnsi="仿宋" w:eastAsia="仿宋" w:cs="宋体"/>
          <w:kern w:val="0"/>
          <w:sz w:val="30"/>
          <w:szCs w:val="30"/>
        </w:rPr>
        <w:t xml:space="preserve"> 学校为鼓励横向科研项目研究，提供必要的研究条件，目前暂不提取管理费，但如果学校科研处审核合同时，认为项目大量使用学校科研资源（设备、人力等）较多、对学校正常的教学或科研工作影响较大的项目，可收取横向科研项目到帐经费的5％作为学校的科研奖励基金。</w:t>
      </w:r>
    </w:p>
    <w:p>
      <w:pPr>
        <w:widowControl/>
        <w:spacing w:line="560" w:lineRule="exact"/>
        <w:ind w:firstLine="602" w:firstLineChars="200"/>
        <w:jc w:val="left"/>
        <w:rPr>
          <w:rFonts w:ascii="仿宋" w:hAnsi="仿宋" w:eastAsia="仿宋"/>
          <w:bCs/>
          <w:sz w:val="30"/>
          <w:szCs w:val="30"/>
        </w:rPr>
      </w:pPr>
      <w:r>
        <w:rPr>
          <w:rFonts w:hint="eastAsia" w:ascii="仿宋" w:hAnsi="仿宋" w:eastAsia="仿宋"/>
          <w:b/>
          <w:kern w:val="0"/>
          <w:sz w:val="30"/>
          <w:szCs w:val="30"/>
        </w:rPr>
        <w:t>第十条</w:t>
      </w:r>
      <w:r>
        <w:rPr>
          <w:rFonts w:hint="eastAsia" w:ascii="仿宋" w:hAnsi="仿宋" w:eastAsia="仿宋"/>
          <w:kern w:val="0"/>
          <w:sz w:val="30"/>
          <w:szCs w:val="30"/>
        </w:rPr>
        <w:t xml:space="preserve"> 学校为鼓励横向科研项目研究，根据课题到款额和完成情况进行奖励。</w:t>
      </w:r>
      <w:r>
        <w:rPr>
          <w:rFonts w:hint="eastAsia" w:ascii="仿宋" w:hAnsi="仿宋" w:eastAsia="仿宋"/>
          <w:sz w:val="30"/>
          <w:szCs w:val="30"/>
        </w:rPr>
        <w:t>横向科研项目在结题年度按项目的到款额的3%进行一次性奖励，但最高奖励不超过30000元。同时，</w:t>
      </w:r>
      <w:r>
        <w:rPr>
          <w:rFonts w:hint="eastAsia" w:ascii="仿宋" w:hAnsi="仿宋" w:eastAsia="仿宋" w:cs="宋体"/>
          <w:kern w:val="0"/>
          <w:sz w:val="30"/>
          <w:szCs w:val="30"/>
        </w:rPr>
        <w:t>横向科研项目在经费到款时需要学校提供发票的，由学校承担5.7％的税金。</w:t>
      </w:r>
    </w:p>
    <w:p>
      <w:pPr>
        <w:widowControl/>
        <w:spacing w:line="560" w:lineRule="exact"/>
        <w:ind w:firstLine="634" w:firstLineChars="200"/>
        <w:jc w:val="left"/>
        <w:rPr>
          <w:rFonts w:ascii="仿宋" w:hAnsi="仿宋" w:eastAsia="仿宋" w:cs="宋体"/>
          <w:kern w:val="0"/>
          <w:sz w:val="30"/>
          <w:szCs w:val="30"/>
        </w:rPr>
      </w:pPr>
      <w:r>
        <w:rPr>
          <w:rFonts w:ascii="仿宋" w:hAnsi="仿宋" w:eastAsia="仿宋" w:cs="Arial"/>
          <w:b/>
          <w:spacing w:val="8"/>
          <w:kern w:val="0"/>
          <w:sz w:val="30"/>
          <w:szCs w:val="30"/>
        </w:rPr>
        <w:t>第十</w:t>
      </w:r>
      <w:r>
        <w:rPr>
          <w:rFonts w:hint="eastAsia" w:ascii="仿宋" w:hAnsi="仿宋" w:eastAsia="仿宋" w:cs="Arial"/>
          <w:b/>
          <w:spacing w:val="8"/>
          <w:kern w:val="0"/>
          <w:sz w:val="30"/>
          <w:szCs w:val="30"/>
        </w:rPr>
        <w:t>一</w:t>
      </w:r>
      <w:r>
        <w:rPr>
          <w:rFonts w:ascii="仿宋" w:hAnsi="仿宋" w:eastAsia="仿宋" w:cs="Arial"/>
          <w:b/>
          <w:spacing w:val="8"/>
          <w:kern w:val="0"/>
          <w:sz w:val="30"/>
          <w:szCs w:val="30"/>
        </w:rPr>
        <w:t>条</w:t>
      </w:r>
      <w:r>
        <w:rPr>
          <w:rFonts w:hint="eastAsia" w:ascii="仿宋" w:hAnsi="仿宋" w:eastAsia="仿宋" w:cs="Arial"/>
          <w:b/>
          <w:spacing w:val="8"/>
          <w:kern w:val="0"/>
          <w:sz w:val="30"/>
          <w:szCs w:val="30"/>
        </w:rPr>
        <w:t xml:space="preserve"> </w:t>
      </w:r>
      <w:r>
        <w:rPr>
          <w:rFonts w:hint="eastAsia" w:ascii="仿宋" w:hAnsi="仿宋" w:eastAsia="仿宋" w:cs="宋体"/>
          <w:kern w:val="0"/>
          <w:sz w:val="30"/>
          <w:szCs w:val="30"/>
        </w:rPr>
        <w:t>横向项目经费实行有别于财政科研经费的管理办法，纳入学校财务管理，按委托方要求或合同约定使用，委托方未提出或未在合同约定经费使用要求的，由学校自主管理、规范使用。</w:t>
      </w:r>
    </w:p>
    <w:p>
      <w:pPr>
        <w:widowControl/>
        <w:spacing w:line="560" w:lineRule="exact"/>
        <w:ind w:firstLine="634" w:firstLineChars="200"/>
        <w:jc w:val="left"/>
        <w:rPr>
          <w:rFonts w:ascii="仿宋" w:hAnsi="仿宋" w:eastAsia="仿宋" w:cs="Arial"/>
          <w:spacing w:val="8"/>
          <w:kern w:val="0"/>
          <w:sz w:val="30"/>
          <w:szCs w:val="30"/>
        </w:rPr>
      </w:pPr>
      <w:r>
        <w:rPr>
          <w:rFonts w:ascii="仿宋" w:hAnsi="仿宋" w:eastAsia="仿宋" w:cs="Arial"/>
          <w:b/>
          <w:spacing w:val="8"/>
          <w:kern w:val="0"/>
          <w:sz w:val="30"/>
          <w:szCs w:val="30"/>
        </w:rPr>
        <w:t>第十</w:t>
      </w:r>
      <w:r>
        <w:rPr>
          <w:rFonts w:hint="eastAsia" w:ascii="仿宋" w:hAnsi="仿宋" w:eastAsia="仿宋" w:cs="Arial"/>
          <w:b/>
          <w:spacing w:val="8"/>
          <w:kern w:val="0"/>
          <w:sz w:val="30"/>
          <w:szCs w:val="30"/>
        </w:rPr>
        <w:t>二</w:t>
      </w:r>
      <w:r>
        <w:rPr>
          <w:rFonts w:ascii="仿宋" w:hAnsi="仿宋" w:eastAsia="仿宋" w:cs="Arial"/>
          <w:b/>
          <w:spacing w:val="8"/>
          <w:kern w:val="0"/>
          <w:sz w:val="30"/>
          <w:szCs w:val="30"/>
        </w:rPr>
        <w:t>条</w:t>
      </w:r>
      <w:r>
        <w:rPr>
          <w:rFonts w:ascii="仿宋" w:hAnsi="仿宋" w:eastAsia="仿宋" w:cs="Arial"/>
          <w:spacing w:val="8"/>
          <w:kern w:val="0"/>
          <w:sz w:val="30"/>
          <w:szCs w:val="30"/>
        </w:rPr>
        <w:t xml:space="preserve"> </w:t>
      </w:r>
      <w:r>
        <w:rPr>
          <w:rFonts w:hint="eastAsia" w:ascii="仿宋" w:hAnsi="仿宋" w:eastAsia="仿宋" w:cs="Arial"/>
          <w:spacing w:val="8"/>
          <w:kern w:val="0"/>
          <w:sz w:val="30"/>
          <w:szCs w:val="30"/>
        </w:rPr>
        <w:t>横向</w:t>
      </w:r>
      <w:r>
        <w:rPr>
          <w:rFonts w:ascii="仿宋" w:hAnsi="仿宋" w:eastAsia="仿宋" w:cs="Arial"/>
          <w:spacing w:val="8"/>
          <w:kern w:val="0"/>
          <w:sz w:val="30"/>
          <w:szCs w:val="30"/>
        </w:rPr>
        <w:t>科研项目经费应用于与该项目有关的科研业务费、人员经费和管理费等各项合理支出（主要包括仪器设备费、能源材料费、图书资料费、文献检索查新费、设计试验费、会议调研费、科技成果鉴定与验收费、人员费、管理费等）；严禁将科研项目经费用于与科研无关活动（如支付罚款、捐款、赞助、投资等）；严禁以任何方式从科研项目经费中谋取私利。</w:t>
      </w:r>
    </w:p>
    <w:p>
      <w:pPr>
        <w:widowControl/>
        <w:spacing w:line="560" w:lineRule="exact"/>
        <w:ind w:firstLine="634" w:firstLineChars="200"/>
        <w:jc w:val="left"/>
        <w:rPr>
          <w:rFonts w:ascii="仿宋" w:hAnsi="仿宋" w:eastAsia="仿宋" w:cs="Arial"/>
          <w:spacing w:val="8"/>
          <w:kern w:val="0"/>
          <w:sz w:val="30"/>
          <w:szCs w:val="30"/>
        </w:rPr>
      </w:pPr>
      <w:r>
        <w:rPr>
          <w:rFonts w:ascii="仿宋" w:hAnsi="仿宋" w:eastAsia="仿宋" w:cs="Arial"/>
          <w:b/>
          <w:spacing w:val="8"/>
          <w:kern w:val="0"/>
          <w:sz w:val="30"/>
          <w:szCs w:val="30"/>
        </w:rPr>
        <w:t>第十</w:t>
      </w:r>
      <w:r>
        <w:rPr>
          <w:rFonts w:hint="eastAsia" w:ascii="仿宋" w:hAnsi="仿宋" w:eastAsia="仿宋" w:cs="Arial"/>
          <w:b/>
          <w:spacing w:val="8"/>
          <w:kern w:val="0"/>
          <w:sz w:val="30"/>
          <w:szCs w:val="30"/>
        </w:rPr>
        <w:t>三</w:t>
      </w:r>
      <w:r>
        <w:rPr>
          <w:rFonts w:ascii="仿宋" w:hAnsi="仿宋" w:eastAsia="仿宋" w:cs="Arial"/>
          <w:b/>
          <w:spacing w:val="8"/>
          <w:kern w:val="0"/>
          <w:sz w:val="30"/>
          <w:szCs w:val="30"/>
        </w:rPr>
        <w:t>条</w:t>
      </w:r>
      <w:r>
        <w:rPr>
          <w:rFonts w:ascii="仿宋" w:hAnsi="仿宋" w:eastAsia="仿宋" w:cs="Arial"/>
          <w:spacing w:val="8"/>
          <w:kern w:val="0"/>
          <w:sz w:val="30"/>
          <w:szCs w:val="30"/>
        </w:rPr>
        <w:t xml:space="preserve"> 科研项目经费预算是科研项目的有机组成部分，项目负责人应当在科研和财务管理部门的指导下，按照有关规定和项目实际需要编制经费预算。横向科研项目预算中应当明确项目实施过程中必需的技术和劳务酬金的比例。项目经费预算一经批复，必须严格按照预算规定的开支范围和项目进度执行，不得超预算开支费用。批复后的预算一般不作调整，确需调整</w:t>
      </w:r>
      <w:r>
        <w:rPr>
          <w:rFonts w:hint="eastAsia" w:ascii="仿宋" w:hAnsi="仿宋" w:eastAsia="仿宋" w:cs="Arial"/>
          <w:spacing w:val="8"/>
          <w:kern w:val="0"/>
          <w:sz w:val="30"/>
          <w:szCs w:val="30"/>
        </w:rPr>
        <w:t>的</w:t>
      </w:r>
      <w:r>
        <w:rPr>
          <w:rFonts w:ascii="仿宋" w:hAnsi="仿宋" w:eastAsia="仿宋" w:cs="Arial"/>
          <w:spacing w:val="8"/>
          <w:kern w:val="0"/>
          <w:sz w:val="30"/>
          <w:szCs w:val="30"/>
        </w:rPr>
        <w:t>，应按规定程序报批。</w:t>
      </w:r>
    </w:p>
    <w:p>
      <w:pPr>
        <w:autoSpaceDE w:val="0"/>
        <w:autoSpaceDN w:val="0"/>
        <w:adjustRightInd w:val="0"/>
        <w:spacing w:line="560" w:lineRule="exact"/>
        <w:ind w:firstLine="634" w:firstLineChars="200"/>
        <w:rPr>
          <w:rFonts w:ascii="仿宋" w:hAnsi="仿宋" w:eastAsia="仿宋"/>
          <w:sz w:val="30"/>
          <w:szCs w:val="30"/>
        </w:rPr>
      </w:pPr>
      <w:r>
        <w:rPr>
          <w:rFonts w:hint="eastAsia" w:ascii="仿宋" w:hAnsi="仿宋" w:eastAsia="仿宋" w:cs="Arial"/>
          <w:b/>
          <w:spacing w:val="8"/>
          <w:kern w:val="0"/>
          <w:sz w:val="30"/>
          <w:szCs w:val="30"/>
        </w:rPr>
        <w:t>第十四条</w:t>
      </w:r>
      <w:r>
        <w:rPr>
          <w:rFonts w:hint="eastAsia" w:ascii="仿宋" w:hAnsi="仿宋" w:eastAsia="仿宋"/>
          <w:sz w:val="30"/>
          <w:szCs w:val="30"/>
        </w:rPr>
        <w:t xml:space="preserve"> 横向经费的使用。</w:t>
      </w:r>
    </w:p>
    <w:p>
      <w:pPr>
        <w:widowControl/>
        <w:spacing w:line="560" w:lineRule="exact"/>
        <w:ind w:firstLine="632" w:firstLineChars="200"/>
        <w:jc w:val="left"/>
        <w:rPr>
          <w:rFonts w:ascii="仿宋" w:hAnsi="仿宋" w:eastAsia="仿宋" w:cs="Arial"/>
          <w:spacing w:val="8"/>
          <w:kern w:val="0"/>
          <w:sz w:val="30"/>
          <w:szCs w:val="30"/>
        </w:rPr>
      </w:pPr>
      <w:r>
        <w:rPr>
          <w:rFonts w:hint="eastAsia" w:ascii="仿宋" w:hAnsi="仿宋" w:eastAsia="仿宋" w:cs="Arial"/>
          <w:spacing w:val="8"/>
          <w:kern w:val="0"/>
          <w:sz w:val="30"/>
          <w:szCs w:val="30"/>
        </w:rPr>
        <w:t>（1）资助经费的使用应本着有利科研和节约的原则，统筹使用，不得超支。横向科研项目合同签订后，根据课题经费计划和研究进度，由项目负责人填写《浙江省高校科研经费使用信息公开一览表》。横向科研项目的结余经费，按合同约定管理，合同没有约定的，由学校按照相关管理办法统筹使用。</w:t>
      </w:r>
    </w:p>
    <w:p>
      <w:pPr>
        <w:widowControl/>
        <w:spacing w:line="560" w:lineRule="exact"/>
        <w:ind w:firstLine="632" w:firstLineChars="200"/>
        <w:jc w:val="left"/>
        <w:rPr>
          <w:rFonts w:ascii="仿宋" w:hAnsi="仿宋" w:eastAsia="仿宋" w:cs="Arial"/>
          <w:spacing w:val="8"/>
          <w:kern w:val="0"/>
          <w:sz w:val="30"/>
          <w:szCs w:val="30"/>
        </w:rPr>
      </w:pPr>
      <w:r>
        <w:rPr>
          <w:rFonts w:hint="eastAsia" w:ascii="仿宋" w:hAnsi="仿宋" w:eastAsia="仿宋" w:cs="Arial"/>
          <w:spacing w:val="8"/>
          <w:kern w:val="0"/>
          <w:sz w:val="30"/>
          <w:szCs w:val="30"/>
        </w:rPr>
        <w:t>（2）资助经费报销方法：在规定开支的范围内，由课题负责人将开支的发票送交科研处审核签字后，凭《浙江省高校科研经费使用信息公开一览表》到计财处办理报销手续。</w:t>
      </w:r>
    </w:p>
    <w:p>
      <w:pPr>
        <w:widowControl/>
        <w:spacing w:line="560" w:lineRule="exact"/>
        <w:ind w:firstLine="632" w:firstLineChars="200"/>
        <w:jc w:val="left"/>
        <w:rPr>
          <w:rFonts w:ascii="仿宋" w:hAnsi="仿宋" w:eastAsia="仿宋" w:cs="Arial"/>
          <w:spacing w:val="8"/>
          <w:kern w:val="0"/>
          <w:sz w:val="30"/>
          <w:szCs w:val="30"/>
        </w:rPr>
      </w:pPr>
      <w:r>
        <w:rPr>
          <w:rFonts w:hint="eastAsia" w:ascii="仿宋" w:hAnsi="仿宋" w:eastAsia="仿宋" w:cs="Arial"/>
          <w:spacing w:val="8"/>
          <w:kern w:val="0"/>
          <w:sz w:val="30"/>
          <w:szCs w:val="30"/>
        </w:rPr>
        <w:t>（3）利用横向科研项目资金购置耗材及单价在5万元以下仪器设备等的，由科研团队自行采购，并报备科研处与资产设备处。对购置科研设备仪器超过5万元的，需向科研处提出申请，再按上级文件要求和学校采购管理办法处理。对于进口仪器设备，按上级文件要求进行采购。</w:t>
      </w:r>
    </w:p>
    <w:p>
      <w:pPr>
        <w:widowControl/>
        <w:spacing w:line="560" w:lineRule="exact"/>
        <w:ind w:firstLine="632" w:firstLineChars="200"/>
        <w:jc w:val="left"/>
        <w:rPr>
          <w:rFonts w:ascii="仿宋" w:hAnsi="仿宋" w:eastAsia="仿宋" w:cs="Arial"/>
          <w:spacing w:val="8"/>
          <w:kern w:val="0"/>
          <w:sz w:val="30"/>
          <w:szCs w:val="30"/>
        </w:rPr>
      </w:pPr>
      <w:r>
        <w:rPr>
          <w:rFonts w:hint="eastAsia" w:ascii="仿宋" w:hAnsi="仿宋" w:eastAsia="仿宋" w:cs="Arial"/>
          <w:spacing w:val="8"/>
          <w:kern w:val="0"/>
          <w:sz w:val="30"/>
          <w:szCs w:val="30"/>
        </w:rPr>
        <w:t>（4）项目负责人可根据科研活动实际需求，在横向项目经费中合理列支科研接待费，接待标准和要求原则上参照《浙江省党政机关国内公务接待管理办法》执行。委托方有要求或合同有约定的从其要求或约定。鼓励科研人员乘坐公共交通工具出行开展科研活动。确因条件限制或工作需要，必须租车前往的，按学校相关管理办法执行。</w:t>
      </w:r>
    </w:p>
    <w:p>
      <w:pPr>
        <w:widowControl/>
        <w:spacing w:line="560" w:lineRule="exact"/>
        <w:ind w:firstLine="632" w:firstLineChars="200"/>
        <w:jc w:val="left"/>
        <w:rPr>
          <w:rFonts w:ascii="仿宋" w:hAnsi="仿宋" w:eastAsia="仿宋"/>
          <w:sz w:val="30"/>
          <w:szCs w:val="30"/>
        </w:rPr>
      </w:pPr>
      <w:r>
        <w:rPr>
          <w:rFonts w:hint="eastAsia" w:ascii="仿宋" w:hAnsi="仿宋" w:eastAsia="仿宋" w:cs="Arial"/>
          <w:spacing w:val="8"/>
          <w:kern w:val="0"/>
          <w:sz w:val="30"/>
          <w:szCs w:val="30"/>
        </w:rPr>
        <w:t>（5）横向项目经费可列支研发团队劳务报酬，合同有约定的从其约定，没有合同约定的按学校内部管理办法获得劳务报酬，并依法缴纳个人所得税。聘用人员劳务费、研发团队劳务报酬均需依法缴纳个人所得税，但不纳入所在高校绩效工资总额。以下项目不可列支劳务报酬：1.省级党政机关和主管部门交办（非公开竞争）给学校的项目；2.承接其他单位纵向项目的子项目；3.与其他单位合作开展的科研项目中，基本科研业务费及其他自由财政性资金部分；4.各类非科研活动，如科学知识宣讲、讲座、科技展览、课程开发、交流讲学、常规业务培训、办班办学、商务服务，以及与技术开发、科技成果转化没有关联，不具有创新性、创造性和相应知识产权成果的技术咨询、技术服务、技术培训，以及检验检测等项目。</w:t>
      </w:r>
    </w:p>
    <w:p>
      <w:pPr>
        <w:widowControl/>
        <w:spacing w:line="560" w:lineRule="exact"/>
        <w:ind w:firstLine="602" w:firstLineChars="200"/>
        <w:jc w:val="left"/>
        <w:rPr>
          <w:rFonts w:ascii="仿宋" w:hAnsi="仿宋" w:eastAsia="仿宋" w:cs="Arial"/>
          <w:spacing w:val="8"/>
          <w:kern w:val="0"/>
          <w:sz w:val="30"/>
          <w:szCs w:val="30"/>
        </w:rPr>
      </w:pPr>
      <w:r>
        <w:rPr>
          <w:rFonts w:hint="eastAsia" w:ascii="仿宋" w:hAnsi="仿宋" w:eastAsia="仿宋" w:cs="宋体"/>
          <w:b/>
          <w:kern w:val="0"/>
          <w:sz w:val="30"/>
          <w:szCs w:val="30"/>
        </w:rPr>
        <w:t>第十五条</w:t>
      </w:r>
      <w:r>
        <w:rPr>
          <w:rFonts w:hint="eastAsia" w:ascii="仿宋" w:hAnsi="仿宋" w:eastAsia="仿宋" w:cs="宋体"/>
          <w:kern w:val="0"/>
          <w:sz w:val="30"/>
          <w:szCs w:val="30"/>
        </w:rPr>
        <w:t xml:space="preserve"> 横向科研项目经费的开支都要实事求是，严禁弄虚作假；所有报销凭据都应符合财务规定；属于个人收入的，要依法纳税。</w:t>
      </w:r>
    </w:p>
    <w:p>
      <w:pPr>
        <w:widowControl/>
        <w:spacing w:line="560" w:lineRule="exact"/>
        <w:ind w:firstLine="602" w:firstLineChars="200"/>
        <w:jc w:val="left"/>
        <w:rPr>
          <w:rFonts w:ascii="仿宋" w:hAnsi="仿宋" w:eastAsia="仿宋" w:cs="Arial"/>
          <w:spacing w:val="8"/>
          <w:kern w:val="0"/>
          <w:sz w:val="30"/>
          <w:szCs w:val="30"/>
        </w:rPr>
      </w:pPr>
      <w:r>
        <w:rPr>
          <w:rFonts w:hint="eastAsia" w:ascii="仿宋" w:hAnsi="仿宋" w:eastAsia="仿宋" w:cs="宋体"/>
          <w:b/>
          <w:kern w:val="0"/>
          <w:sz w:val="30"/>
          <w:szCs w:val="30"/>
        </w:rPr>
        <w:t>第十六条</w:t>
      </w:r>
      <w:r>
        <w:rPr>
          <w:rFonts w:hint="eastAsia" w:ascii="仿宋" w:hAnsi="仿宋" w:eastAsia="仿宋" w:cs="宋体"/>
          <w:b/>
          <w:kern w:val="0"/>
          <w:sz w:val="30"/>
          <w:szCs w:val="30"/>
          <w:lang w:val="en-US" w:eastAsia="zh-CN"/>
        </w:rPr>
        <w:t xml:space="preserve"> </w:t>
      </w:r>
      <w:r>
        <w:rPr>
          <w:rFonts w:hint="eastAsia" w:ascii="仿宋" w:hAnsi="仿宋" w:eastAsia="仿宋" w:cs="Arial"/>
          <w:spacing w:val="8"/>
          <w:kern w:val="0"/>
          <w:sz w:val="30"/>
          <w:szCs w:val="30"/>
        </w:rPr>
        <w:t>本办法自发布之日起试行，学校原有管理规定如与本办法不相符，以本办法为准。如与上级管理办法不相符，以上级管理办法为准。如有争议问题，提交校学术委员会审议。</w:t>
      </w:r>
    </w:p>
    <w:p>
      <w:pPr>
        <w:widowControl/>
        <w:spacing w:line="560" w:lineRule="exact"/>
        <w:ind w:firstLine="602" w:firstLineChars="200"/>
        <w:jc w:val="left"/>
        <w:rPr>
          <w:rFonts w:ascii="仿宋" w:hAnsi="仿宋" w:eastAsia="仿宋" w:cs="宋体"/>
          <w:kern w:val="0"/>
          <w:sz w:val="30"/>
          <w:szCs w:val="30"/>
        </w:rPr>
      </w:pPr>
      <w:r>
        <w:rPr>
          <w:rFonts w:hint="eastAsia" w:ascii="仿宋" w:hAnsi="仿宋" w:eastAsia="仿宋" w:cs="宋体"/>
          <w:b/>
          <w:kern w:val="0"/>
          <w:sz w:val="30"/>
          <w:szCs w:val="30"/>
        </w:rPr>
        <w:t xml:space="preserve">第十七条 </w:t>
      </w:r>
      <w:r>
        <w:rPr>
          <w:rFonts w:hint="eastAsia" w:ascii="仿宋" w:hAnsi="仿宋" w:eastAsia="仿宋" w:cs="宋体"/>
          <w:kern w:val="0"/>
          <w:sz w:val="30"/>
          <w:szCs w:val="30"/>
        </w:rPr>
        <w:t>本办法由科研处负责解释。</w:t>
      </w:r>
    </w:p>
    <w:p>
      <w:pPr>
        <w:widowControl/>
        <w:spacing w:line="440" w:lineRule="exact"/>
        <w:jc w:val="center"/>
        <w:rPr>
          <w:rFonts w:ascii="仿宋" w:hAnsi="仿宋" w:eastAsia="仿宋"/>
          <w:b/>
          <w:sz w:val="28"/>
          <w:szCs w:val="28"/>
        </w:rPr>
      </w:pPr>
    </w:p>
    <w:p>
      <w:pPr>
        <w:widowControl/>
        <w:spacing w:line="440" w:lineRule="exact"/>
        <w:jc w:val="center"/>
        <w:rPr>
          <w:rFonts w:ascii="仿宋" w:hAnsi="仿宋" w:eastAsia="仿宋"/>
          <w:b/>
          <w:sz w:val="32"/>
        </w:rPr>
      </w:pPr>
    </w:p>
    <w:p>
      <w:pPr>
        <w:widowControl/>
        <w:spacing w:line="440" w:lineRule="exact"/>
        <w:jc w:val="center"/>
        <w:rPr>
          <w:rFonts w:ascii="仿宋" w:hAnsi="仿宋" w:eastAsia="仿宋"/>
          <w:b/>
          <w:sz w:val="32"/>
        </w:rPr>
      </w:pPr>
    </w:p>
    <w:p>
      <w:pPr>
        <w:widowControl/>
        <w:spacing w:line="440" w:lineRule="exact"/>
        <w:jc w:val="center"/>
        <w:rPr>
          <w:rFonts w:ascii="仿宋" w:hAnsi="仿宋" w:eastAsia="仿宋"/>
          <w:b/>
          <w:sz w:val="32"/>
        </w:rPr>
      </w:pPr>
    </w:p>
    <w:p>
      <w:pPr>
        <w:widowControl/>
        <w:spacing w:line="440" w:lineRule="exact"/>
        <w:jc w:val="center"/>
        <w:rPr>
          <w:rFonts w:ascii="仿宋" w:hAnsi="仿宋" w:eastAsia="仿宋"/>
          <w:b/>
          <w:sz w:val="32"/>
        </w:rPr>
      </w:pPr>
    </w:p>
    <w:p>
      <w:pPr>
        <w:widowControl/>
        <w:spacing w:line="440" w:lineRule="exact"/>
        <w:jc w:val="center"/>
        <w:rPr>
          <w:rFonts w:ascii="仿宋" w:hAnsi="仿宋" w:eastAsia="仿宋"/>
          <w:b/>
          <w:sz w:val="32"/>
        </w:rPr>
      </w:pPr>
    </w:p>
    <w:p>
      <w:pPr>
        <w:widowControl/>
        <w:spacing w:line="440" w:lineRule="exact"/>
        <w:jc w:val="center"/>
        <w:rPr>
          <w:rFonts w:ascii="仿宋" w:hAnsi="仿宋" w:eastAsia="仿宋"/>
          <w:b/>
          <w:sz w:val="32"/>
        </w:rPr>
      </w:pPr>
    </w:p>
    <w:p>
      <w:pPr>
        <w:widowControl/>
        <w:spacing w:line="440" w:lineRule="exact"/>
        <w:jc w:val="center"/>
        <w:rPr>
          <w:rFonts w:ascii="仿宋" w:hAnsi="仿宋" w:eastAsia="仿宋"/>
          <w:b/>
          <w:sz w:val="32"/>
        </w:rPr>
      </w:pPr>
    </w:p>
    <w:p>
      <w:pPr>
        <w:widowControl/>
        <w:spacing w:line="440" w:lineRule="exact"/>
        <w:jc w:val="center"/>
        <w:rPr>
          <w:rFonts w:ascii="仿宋" w:hAnsi="仿宋" w:eastAsia="仿宋"/>
          <w:b/>
          <w:sz w:val="32"/>
        </w:rPr>
      </w:pPr>
    </w:p>
    <w:p>
      <w:pPr>
        <w:widowControl/>
        <w:spacing w:line="440" w:lineRule="exact"/>
        <w:jc w:val="center"/>
        <w:rPr>
          <w:rFonts w:ascii="仿宋" w:hAnsi="仿宋" w:eastAsia="仿宋"/>
          <w:b/>
          <w:sz w:val="32"/>
        </w:rPr>
      </w:pPr>
    </w:p>
    <w:p>
      <w:pPr>
        <w:spacing w:line="560" w:lineRule="exact"/>
        <w:ind w:firstLine="280" w:firstLineChars="100"/>
        <w:rPr>
          <w:rFonts w:hint="eastAsia" w:ascii="仿宋" w:hAnsi="仿宋" w:eastAsia="仿宋"/>
          <w:sz w:val="28"/>
          <w:szCs w:val="28"/>
        </w:rPr>
      </w:pPr>
      <w:r>
        <w:rPr>
          <w:rFonts w:hint="eastAsia" w:ascii="仿宋" w:hAnsi="仿宋" w:eastAsia="仿宋"/>
          <w:sz w:val="28"/>
          <w:szCs w:val="28"/>
        </w:rPr>
        <w:t xml:space="preserve">                                      </w:t>
      </w:r>
    </w:p>
    <w:p>
      <w:pPr>
        <w:spacing w:line="560" w:lineRule="exact"/>
        <w:ind w:left="210" w:leftChars="100" w:right="210" w:rightChars="100"/>
        <w:rPr>
          <w:rFonts w:hint="eastAsia"/>
          <w:sz w:val="24"/>
          <w:szCs w:val="24"/>
        </w:rPr>
      </w:pPr>
      <w:r>
        <w:rPr>
          <w:rFonts w:ascii="仿宋" w:hAnsi="仿宋" w:eastAsia="仿宋"/>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50800</wp:posOffset>
                </wp:positionV>
                <wp:extent cx="561911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pt;width:442.45pt;z-index:251658240;mso-width-relative:page;mso-height-relative:page;" filled="f" stroked="t" coordsize="21600,21600" o:gfxdata="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WotVtMAAAAEAQAADwAAAAAAAAABACAA&#10;AAAiAAAAZHJzL2Rvd25yZXYueG1sUEsBAhQAFAAAAAgAh07iQOgZmHPZAQAAlgMAAA4AAAAAAAAA&#10;AQAgAAAAIgEAAGRycy9lMm9Eb2MueG1sUEsFBgAAAAAGAAYAWQEAAG0FAAAAAA==&#10;">
                <v:fill on="f" focussize="0,0"/>
                <v:stroke color="#000000" joinstyle="round"/>
                <v:imagedata o:title=""/>
                <o:lock v:ext="edit" aspectratio="f"/>
              </v:line>
            </w:pict>
          </mc:Fallback>
        </mc:AlternateContent>
      </w:r>
      <w:r>
        <w:rPr>
          <w:rFonts w:hint="eastAsia" w:ascii="仿宋" w:hAnsi="仿宋" w:eastAsia="仿宋"/>
          <w:sz w:val="28"/>
          <w:szCs w:val="28"/>
        </w:rPr>
        <w:t>浙江经济职业技术学院办公室</w:t>
      </w:r>
      <w:r>
        <w:rPr>
          <w:rFonts w:hint="eastAsia" w:ascii="仿宋_GB2312" w:eastAsia="仿宋_GB2312"/>
          <w:sz w:val="28"/>
          <w:szCs w:val="28"/>
        </w:rPr>
        <w:t xml:space="preserve">   </w:t>
      </w:r>
      <w:bookmarkStart w:id="1" w:name="日期"/>
      <w:r>
        <w:rPr>
          <w:rFonts w:hint="eastAsia" w:ascii="仿宋_GB2312" w:eastAsia="仿宋_GB2312"/>
          <w:sz w:val="28"/>
          <w:szCs w:val="28"/>
        </w:rPr>
        <w:t xml:space="preserve">          201</w:t>
      </w:r>
      <w:r>
        <w:rPr>
          <w:rFonts w:hint="eastAsia" w:ascii="仿宋_GB2312" w:eastAsia="仿宋_GB2312"/>
          <w:sz w:val="28"/>
          <w:szCs w:val="28"/>
          <w:lang w:val="en-US" w:eastAsia="zh-CN"/>
        </w:rPr>
        <w:t>9</w:t>
      </w:r>
      <w:r>
        <w:rPr>
          <w:rFonts w:hint="eastAsia" w:ascii="仿宋_GB2312" w:eastAsia="仿宋_GB2312"/>
          <w:sz w:val="28"/>
          <w:szCs w:val="28"/>
        </w:rPr>
        <w:t>年1</w:t>
      </w:r>
      <w:r>
        <w:rPr>
          <w:rFonts w:hint="eastAsia" w:ascii="仿宋_GB2312" w:eastAsia="仿宋_GB2312"/>
          <w:sz w:val="28"/>
          <w:szCs w:val="28"/>
          <w:lang w:val="en-US" w:eastAsia="zh-CN"/>
        </w:rPr>
        <w:t>0</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bookmarkEnd w:id="1"/>
      <w:r>
        <w:rPr>
          <w:rFonts w:hint="eastAsia" w:ascii="仿宋" w:hAnsi="仿宋" w:eastAsia="仿宋"/>
          <w:sz w:val="28"/>
          <w:szCs w:val="28"/>
        </w:rPr>
        <w:t>印发</w:t>
      </w:r>
    </w:p>
    <w:p>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76835</wp:posOffset>
                </wp:positionV>
                <wp:extent cx="561911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05pt;height:0pt;width:442.45pt;z-index:251659264;mso-width-relative:page;mso-height-relative:page;" filled="f" stroked="t" coordsize="21600,21600" o:gfxdata="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wz1LTAAAABgEAAA8AAAAAAAAAAQAg&#10;AAAAIgAAAGRycy9kb3ducmV2LnhtbFBLAQIUABQAAAAIAIdO4kDbpDTE2gEAAJYDAAAOAAAAAAAA&#10;AAEAIAAAACIBAABkcnMvZTJvRG9jLnhtbFBLBQYAAAAABgAGAFkBAABuBQAAAAA=&#10;">
                <v:fill on="f" focussize="0,0"/>
                <v:stroke color="#000000" joinstyle="round"/>
                <v:imagedata o:title=""/>
                <o:lock v:ext="edit" aspectratio="f"/>
              </v:line>
            </w:pict>
          </mc:Fallback>
        </mc:AlternateContent>
      </w:r>
    </w:p>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05D56"/>
    <w:rsid w:val="4ED05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tcnt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2019-11-18T02:26:00Z</dcterms:created>
  <dc:creator>Dell</dc:creator>
  <cp:lastModifiedBy>Dell</cp:lastModifiedBy>
  <cp:lastPrinted>2019-11-18T02:30:08Z</cp:lastPrinted>
  <dcterms:modified xsi:type="dcterms:W3CDTF">2019-11-18T02:31:42Z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